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5D0AA" w14:textId="1CB8181D" w:rsidR="000A1977" w:rsidRPr="00E160D1" w:rsidRDefault="000A1977" w:rsidP="000A1977">
      <w:pPr>
        <w:spacing w:line="360" w:lineRule="auto"/>
        <w:jc w:val="right"/>
        <w:rPr>
          <w:rFonts w:ascii="Bookman Old Style" w:hAnsi="Bookman Old Style" w:cs="Tahoma"/>
          <w:b/>
        </w:rPr>
      </w:pPr>
      <w:r w:rsidRPr="00E160D1">
        <w:rPr>
          <w:rFonts w:ascii="Bookman Old Style" w:hAnsi="Bookman Old Style"/>
        </w:rPr>
        <w:tab/>
      </w:r>
      <w:r w:rsidRPr="00E160D1">
        <w:rPr>
          <w:rFonts w:ascii="Bookman Old Style" w:hAnsi="Bookman Old Style" w:cs="Tahoma"/>
          <w:b/>
        </w:rPr>
        <w:t xml:space="preserve">Deliberazione  n. </w:t>
      </w:r>
      <w:r w:rsidR="00881216" w:rsidRPr="00E160D1">
        <w:rPr>
          <w:rFonts w:ascii="Bookman Old Style" w:hAnsi="Bookman Old Style" w:cs="Tahoma"/>
          <w:b/>
        </w:rPr>
        <w:t xml:space="preserve"> </w:t>
      </w:r>
      <w:r w:rsidR="0003071F" w:rsidRPr="00E160D1">
        <w:rPr>
          <w:rFonts w:ascii="Bookman Old Style" w:hAnsi="Bookman Old Style" w:cs="Tahoma"/>
          <w:b/>
        </w:rPr>
        <w:t xml:space="preserve">  </w:t>
      </w:r>
      <w:r w:rsidR="00025229" w:rsidRPr="00E160D1">
        <w:rPr>
          <w:rFonts w:ascii="Bookman Old Style" w:hAnsi="Bookman Old Style" w:cs="Tahoma"/>
          <w:b/>
        </w:rPr>
        <w:t xml:space="preserve">   </w:t>
      </w:r>
      <w:r w:rsidR="009B45E4">
        <w:rPr>
          <w:rFonts w:ascii="Bookman Old Style" w:hAnsi="Bookman Old Style" w:cs="Tahoma"/>
          <w:b/>
        </w:rPr>
        <w:t>58</w:t>
      </w:r>
      <w:r w:rsidR="00BC4D81">
        <w:rPr>
          <w:rFonts w:ascii="Bookman Old Style" w:hAnsi="Bookman Old Style" w:cs="Tahoma"/>
          <w:b/>
        </w:rPr>
        <w:t>/2017</w:t>
      </w:r>
      <w:r w:rsidR="0031549B">
        <w:rPr>
          <w:rFonts w:ascii="Bookman Old Style" w:hAnsi="Bookman Old Style" w:cs="Tahoma"/>
          <w:b/>
        </w:rPr>
        <w:t>/</w:t>
      </w:r>
      <w:bookmarkStart w:id="0" w:name="_GoBack"/>
      <w:bookmarkEnd w:id="0"/>
      <w:r w:rsidR="002149BF">
        <w:rPr>
          <w:rFonts w:ascii="Bookman Old Style" w:hAnsi="Bookman Old Style" w:cs="Tahoma"/>
          <w:b/>
        </w:rPr>
        <w:t>QMIG</w:t>
      </w:r>
      <w:r w:rsidR="002149BF">
        <w:rPr>
          <w:rFonts w:ascii="Bookman Old Style" w:hAnsi="Bookman Old Style" w:cs="Tahoma"/>
          <w:b/>
        </w:rPr>
        <w:tab/>
      </w:r>
    </w:p>
    <w:p w14:paraId="4722CA6C" w14:textId="77777777" w:rsidR="000A1977" w:rsidRPr="00E160D1" w:rsidRDefault="00350EF0" w:rsidP="00EB05CF">
      <w:pPr>
        <w:spacing w:line="360" w:lineRule="auto"/>
        <w:jc w:val="center"/>
        <w:rPr>
          <w:rFonts w:ascii="Bookman Old Style" w:hAnsi="Bookman Old Style"/>
          <w:sz w:val="20"/>
          <w:szCs w:val="20"/>
        </w:rPr>
      </w:pPr>
      <w:r w:rsidRPr="00E160D1">
        <w:rPr>
          <w:rFonts w:ascii="Bookman Old Style" w:hAnsi="Bookman Old Style"/>
          <w:noProof/>
          <w:sz w:val="20"/>
          <w:szCs w:val="20"/>
        </w:rPr>
        <w:drawing>
          <wp:inline distT="0" distB="0" distL="0" distR="0" wp14:anchorId="241383F9" wp14:editId="1BBABBAE">
            <wp:extent cx="914400" cy="819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inline>
        </w:drawing>
      </w:r>
    </w:p>
    <w:p w14:paraId="1CBC61B6" w14:textId="77777777" w:rsidR="00784DCD" w:rsidRPr="00E160D1" w:rsidRDefault="00784DCD" w:rsidP="009171FB">
      <w:pPr>
        <w:widowControl w:val="0"/>
        <w:autoSpaceDE w:val="0"/>
        <w:autoSpaceDN w:val="0"/>
        <w:spacing w:line="320" w:lineRule="exact"/>
        <w:jc w:val="center"/>
        <w:rPr>
          <w:rFonts w:ascii="Bookman Old Style" w:hAnsi="Bookman Old Style" w:cs="Verdana"/>
          <w:b/>
          <w:bCs/>
          <w:spacing w:val="28"/>
          <w:sz w:val="28"/>
          <w:szCs w:val="28"/>
        </w:rPr>
      </w:pPr>
    </w:p>
    <w:p w14:paraId="01FD39BE" w14:textId="77777777" w:rsidR="009171FB" w:rsidRPr="00E160D1" w:rsidRDefault="009171FB" w:rsidP="009171FB">
      <w:pPr>
        <w:widowControl w:val="0"/>
        <w:autoSpaceDE w:val="0"/>
        <w:autoSpaceDN w:val="0"/>
        <w:spacing w:line="320" w:lineRule="exact"/>
        <w:jc w:val="center"/>
        <w:rPr>
          <w:rFonts w:ascii="Bookman Old Style" w:hAnsi="Bookman Old Style" w:cs="Verdana"/>
          <w:b/>
          <w:bCs/>
          <w:spacing w:val="28"/>
          <w:sz w:val="28"/>
          <w:szCs w:val="28"/>
        </w:rPr>
      </w:pPr>
      <w:r w:rsidRPr="00E160D1">
        <w:rPr>
          <w:rFonts w:ascii="Bookman Old Style" w:hAnsi="Bookman Old Style" w:cs="Verdana"/>
          <w:b/>
          <w:bCs/>
          <w:spacing w:val="28"/>
          <w:sz w:val="28"/>
          <w:szCs w:val="28"/>
        </w:rPr>
        <w:t>REPUBBLICA ITALIANA</w:t>
      </w:r>
    </w:p>
    <w:p w14:paraId="6A9CF175" w14:textId="77777777" w:rsidR="009171FB" w:rsidRPr="00E160D1" w:rsidRDefault="009171FB" w:rsidP="009171FB">
      <w:pPr>
        <w:keepNext/>
        <w:widowControl w:val="0"/>
        <w:autoSpaceDE w:val="0"/>
        <w:autoSpaceDN w:val="0"/>
        <w:spacing w:line="320" w:lineRule="exact"/>
        <w:jc w:val="center"/>
        <w:outlineLvl w:val="3"/>
        <w:rPr>
          <w:rFonts w:ascii="Bookman Old Style" w:hAnsi="Bookman Old Style" w:cs="Verdana"/>
          <w:b/>
          <w:bCs/>
          <w:iCs/>
          <w:spacing w:val="28"/>
          <w:sz w:val="28"/>
          <w:szCs w:val="28"/>
        </w:rPr>
      </w:pPr>
      <w:r w:rsidRPr="00E160D1">
        <w:rPr>
          <w:rFonts w:ascii="Bookman Old Style" w:hAnsi="Bookman Old Style" w:cs="Verdana"/>
          <w:b/>
          <w:bCs/>
          <w:iCs/>
          <w:spacing w:val="28"/>
          <w:sz w:val="28"/>
          <w:szCs w:val="28"/>
        </w:rPr>
        <w:t>LA CORTE DEI CONTI</w:t>
      </w:r>
    </w:p>
    <w:p w14:paraId="21E801A1" w14:textId="77777777" w:rsidR="009171FB" w:rsidRPr="00E160D1" w:rsidRDefault="009171FB" w:rsidP="009171FB">
      <w:pPr>
        <w:keepNext/>
        <w:widowControl w:val="0"/>
        <w:autoSpaceDE w:val="0"/>
        <w:autoSpaceDN w:val="0"/>
        <w:spacing w:line="480" w:lineRule="auto"/>
        <w:jc w:val="center"/>
        <w:outlineLvl w:val="3"/>
        <w:rPr>
          <w:rFonts w:ascii="Bookman Old Style" w:hAnsi="Bookman Old Style" w:cs="Verdana"/>
          <w:b/>
          <w:bCs/>
          <w:spacing w:val="28"/>
          <w:sz w:val="22"/>
          <w:szCs w:val="22"/>
        </w:rPr>
      </w:pPr>
      <w:r w:rsidRPr="00E160D1">
        <w:rPr>
          <w:rFonts w:ascii="Bookman Old Style" w:hAnsi="Bookman Old Style" w:cs="Verdana"/>
          <w:b/>
          <w:bCs/>
          <w:spacing w:val="28"/>
          <w:sz w:val="22"/>
          <w:szCs w:val="22"/>
        </w:rPr>
        <w:t>Sezione Regionale di Controllo per la Liguria</w:t>
      </w:r>
    </w:p>
    <w:p w14:paraId="5C934C16" w14:textId="77777777" w:rsidR="009171FB" w:rsidRPr="00E160D1" w:rsidRDefault="009171FB" w:rsidP="009171FB">
      <w:pPr>
        <w:widowControl w:val="0"/>
        <w:autoSpaceDE w:val="0"/>
        <w:autoSpaceDN w:val="0"/>
        <w:spacing w:line="480" w:lineRule="auto"/>
        <w:jc w:val="center"/>
        <w:rPr>
          <w:rFonts w:ascii="Bookman Old Style" w:hAnsi="Bookman Old Style" w:cs="Verdana"/>
        </w:rPr>
      </w:pPr>
      <w:r w:rsidRPr="00E160D1">
        <w:rPr>
          <w:rFonts w:ascii="Bookman Old Style" w:hAnsi="Bookman Old Style" w:cs="Verdana"/>
        </w:rPr>
        <w:t>composta dai seguenti magistrati:</w:t>
      </w:r>
    </w:p>
    <w:p w14:paraId="19DAD697" w14:textId="77777777" w:rsidR="0003071F" w:rsidRPr="00E160D1" w:rsidRDefault="001F47A6" w:rsidP="0003071F">
      <w:pPr>
        <w:pStyle w:val="Corpotesto"/>
        <w:spacing w:line="480" w:lineRule="auto"/>
        <w:rPr>
          <w:rFonts w:ascii="Bookman Old Style" w:hAnsi="Bookman Old Style" w:cs="Verdana"/>
          <w:sz w:val="22"/>
          <w:szCs w:val="22"/>
        </w:rPr>
      </w:pPr>
      <w:r>
        <w:rPr>
          <w:rFonts w:ascii="Bookman Old Style" w:hAnsi="Bookman Old Style" w:cs="Verdana"/>
          <w:sz w:val="22"/>
          <w:szCs w:val="22"/>
        </w:rPr>
        <w:t>Fabio VIOLA</w:t>
      </w:r>
      <w:r w:rsidR="0003071F" w:rsidRPr="00E160D1">
        <w:rPr>
          <w:rFonts w:ascii="Bookman Old Style" w:hAnsi="Bookman Old Style" w:cs="Verdana"/>
          <w:sz w:val="22"/>
          <w:szCs w:val="22"/>
        </w:rPr>
        <w:tab/>
      </w:r>
      <w:r w:rsidR="001D0BB6" w:rsidRPr="00E160D1">
        <w:rPr>
          <w:rFonts w:ascii="Bookman Old Style" w:hAnsi="Bookman Old Style" w:cs="Verdana"/>
          <w:sz w:val="22"/>
          <w:szCs w:val="22"/>
        </w:rPr>
        <w:t xml:space="preserve">                   </w:t>
      </w:r>
      <w:r w:rsidR="00E95360">
        <w:rPr>
          <w:rFonts w:ascii="Bookman Old Style" w:hAnsi="Bookman Old Style" w:cs="Verdana"/>
          <w:sz w:val="22"/>
          <w:szCs w:val="22"/>
        </w:rPr>
        <w:tab/>
      </w:r>
      <w:r w:rsidR="00E95360">
        <w:rPr>
          <w:rFonts w:ascii="Bookman Old Style" w:hAnsi="Bookman Old Style" w:cs="Verdana"/>
          <w:sz w:val="22"/>
          <w:szCs w:val="22"/>
        </w:rPr>
        <w:tab/>
      </w:r>
      <w:r>
        <w:rPr>
          <w:rFonts w:ascii="Bookman Old Style" w:hAnsi="Bookman Old Style" w:cs="Verdana"/>
          <w:sz w:val="22"/>
          <w:szCs w:val="22"/>
        </w:rPr>
        <w:t xml:space="preserve">Presidente </w:t>
      </w:r>
    </w:p>
    <w:p w14:paraId="7B671639" w14:textId="77777777" w:rsidR="0003071F" w:rsidRPr="00E160D1" w:rsidRDefault="0003071F" w:rsidP="0003071F">
      <w:pPr>
        <w:tabs>
          <w:tab w:val="left" w:pos="3544"/>
        </w:tabs>
        <w:spacing w:line="480" w:lineRule="auto"/>
        <w:jc w:val="both"/>
        <w:rPr>
          <w:rFonts w:ascii="Bookman Old Style" w:hAnsi="Bookman Old Style" w:cs="Verdana"/>
          <w:sz w:val="22"/>
          <w:szCs w:val="22"/>
        </w:rPr>
      </w:pPr>
      <w:r w:rsidRPr="00E160D1">
        <w:rPr>
          <w:rFonts w:ascii="Bookman Old Style" w:hAnsi="Bookman Old Style" w:cs="Verdana"/>
          <w:sz w:val="22"/>
          <w:szCs w:val="22"/>
        </w:rPr>
        <w:t>Alessandro BENIGNI</w:t>
      </w:r>
      <w:r w:rsidRPr="00E160D1">
        <w:rPr>
          <w:rFonts w:ascii="Bookman Old Style" w:hAnsi="Bookman Old Style" w:cs="Verdana"/>
          <w:sz w:val="22"/>
          <w:szCs w:val="22"/>
        </w:rPr>
        <w:tab/>
      </w:r>
      <w:r w:rsidR="00B41D41">
        <w:rPr>
          <w:rFonts w:ascii="Bookman Old Style" w:hAnsi="Bookman Old Style" w:cs="Verdana"/>
          <w:sz w:val="22"/>
          <w:szCs w:val="22"/>
        </w:rPr>
        <w:t xml:space="preserve">Primo </w:t>
      </w:r>
      <w:r w:rsidRPr="00E160D1">
        <w:rPr>
          <w:rFonts w:ascii="Bookman Old Style" w:hAnsi="Bookman Old Style" w:cs="Verdana"/>
          <w:sz w:val="22"/>
          <w:szCs w:val="22"/>
        </w:rPr>
        <w:t xml:space="preserve">Referendario  </w:t>
      </w:r>
    </w:p>
    <w:p w14:paraId="3CCC91D4" w14:textId="77777777" w:rsidR="0003071F" w:rsidRPr="00E160D1" w:rsidRDefault="0003071F" w:rsidP="0003071F">
      <w:pPr>
        <w:tabs>
          <w:tab w:val="left" w:pos="3544"/>
        </w:tabs>
        <w:spacing w:line="480" w:lineRule="auto"/>
        <w:jc w:val="both"/>
        <w:rPr>
          <w:rFonts w:ascii="Bookman Old Style" w:hAnsi="Bookman Old Style" w:cs="Verdana"/>
          <w:sz w:val="22"/>
          <w:szCs w:val="22"/>
        </w:rPr>
      </w:pPr>
      <w:r w:rsidRPr="00E160D1">
        <w:rPr>
          <w:rFonts w:ascii="Bookman Old Style" w:hAnsi="Bookman Old Style" w:cs="Verdana"/>
          <w:sz w:val="22"/>
          <w:szCs w:val="22"/>
        </w:rPr>
        <w:t>Francesco BELSANTI</w:t>
      </w:r>
      <w:r w:rsidRPr="00E160D1">
        <w:rPr>
          <w:rFonts w:ascii="Bookman Old Style" w:hAnsi="Bookman Old Style" w:cs="Verdana"/>
          <w:sz w:val="22"/>
          <w:szCs w:val="22"/>
        </w:rPr>
        <w:tab/>
      </w:r>
      <w:r w:rsidR="00B41D41">
        <w:rPr>
          <w:rFonts w:ascii="Bookman Old Style" w:hAnsi="Bookman Old Style" w:cs="Verdana"/>
          <w:sz w:val="22"/>
          <w:szCs w:val="22"/>
        </w:rPr>
        <w:t xml:space="preserve">Primo </w:t>
      </w:r>
      <w:r w:rsidRPr="00E160D1">
        <w:rPr>
          <w:rFonts w:ascii="Bookman Old Style" w:hAnsi="Bookman Old Style" w:cs="Verdana"/>
          <w:sz w:val="22"/>
          <w:szCs w:val="22"/>
        </w:rPr>
        <w:t>Referendario</w:t>
      </w:r>
      <w:r w:rsidR="00FA53B9" w:rsidRPr="00E160D1">
        <w:rPr>
          <w:rFonts w:ascii="Bookman Old Style" w:hAnsi="Bookman Old Style" w:cs="Verdana"/>
          <w:sz w:val="22"/>
          <w:szCs w:val="22"/>
        </w:rPr>
        <w:t xml:space="preserve"> (relatore)</w:t>
      </w:r>
    </w:p>
    <w:p w14:paraId="0F033514" w14:textId="77777777" w:rsidR="0067509A" w:rsidRPr="00E160D1" w:rsidRDefault="0067509A" w:rsidP="0003071F">
      <w:pPr>
        <w:tabs>
          <w:tab w:val="left" w:pos="3544"/>
        </w:tabs>
        <w:spacing w:line="480" w:lineRule="auto"/>
        <w:jc w:val="both"/>
        <w:rPr>
          <w:rFonts w:ascii="Bookman Old Style" w:hAnsi="Bookman Old Style" w:cs="Verdana"/>
          <w:sz w:val="22"/>
          <w:szCs w:val="22"/>
        </w:rPr>
      </w:pPr>
      <w:r w:rsidRPr="00E160D1">
        <w:rPr>
          <w:rFonts w:ascii="Bookman Old Style" w:hAnsi="Bookman Old Style" w:cs="Verdana"/>
          <w:sz w:val="22"/>
          <w:szCs w:val="22"/>
        </w:rPr>
        <w:t>Donato CENTRONE</w:t>
      </w:r>
      <w:r w:rsidRPr="00E160D1">
        <w:rPr>
          <w:rFonts w:ascii="Bookman Old Style" w:hAnsi="Bookman Old Style" w:cs="Verdana"/>
          <w:sz w:val="22"/>
          <w:szCs w:val="22"/>
        </w:rPr>
        <w:tab/>
        <w:t>Referendario</w:t>
      </w:r>
    </w:p>
    <w:p w14:paraId="0918098D" w14:textId="77777777" w:rsidR="00890F70" w:rsidRPr="00E160D1" w:rsidRDefault="00890F70" w:rsidP="00890F70">
      <w:pPr>
        <w:tabs>
          <w:tab w:val="left" w:pos="3544"/>
        </w:tabs>
        <w:spacing w:line="480" w:lineRule="auto"/>
        <w:jc w:val="both"/>
        <w:rPr>
          <w:rFonts w:ascii="Bookman Old Style" w:hAnsi="Bookman Old Style" w:cs="Verdana"/>
          <w:sz w:val="22"/>
          <w:szCs w:val="22"/>
        </w:rPr>
      </w:pPr>
      <w:r w:rsidRPr="00E160D1">
        <w:rPr>
          <w:rFonts w:ascii="Bookman Old Style" w:hAnsi="Bookman Old Style" w:cs="Verdana"/>
          <w:sz w:val="22"/>
          <w:szCs w:val="22"/>
        </w:rPr>
        <w:t>Claudio GUERRINI</w:t>
      </w:r>
      <w:r w:rsidRPr="00E160D1">
        <w:rPr>
          <w:rFonts w:ascii="Bookman Old Style" w:hAnsi="Bookman Old Style" w:cs="Verdana"/>
          <w:sz w:val="22"/>
          <w:szCs w:val="22"/>
        </w:rPr>
        <w:tab/>
        <w:t>Referendario</w:t>
      </w:r>
    </w:p>
    <w:p w14:paraId="7A330C0F" w14:textId="77777777" w:rsidR="002C64DC" w:rsidRPr="00E160D1" w:rsidRDefault="00520014" w:rsidP="002C64DC">
      <w:pPr>
        <w:pStyle w:val="Corpotesto"/>
        <w:spacing w:line="480" w:lineRule="auto"/>
        <w:rPr>
          <w:rFonts w:ascii="Bookman Old Style" w:hAnsi="Bookman Old Style" w:cs="Verdana"/>
          <w:sz w:val="22"/>
          <w:szCs w:val="22"/>
        </w:rPr>
      </w:pPr>
      <w:r>
        <w:rPr>
          <w:rFonts w:ascii="Bookman Old Style" w:hAnsi="Bookman Old Style" w:cs="Verdana"/>
          <w:sz w:val="22"/>
          <w:szCs w:val="22"/>
        </w:rPr>
        <w:t>nell’</w:t>
      </w:r>
      <w:r w:rsidR="00CB72AB" w:rsidRPr="00E160D1">
        <w:rPr>
          <w:rFonts w:ascii="Bookman Old Style" w:hAnsi="Bookman Old Style" w:cs="Verdana"/>
          <w:sz w:val="22"/>
          <w:szCs w:val="22"/>
        </w:rPr>
        <w:t xml:space="preserve">adunanza del </w:t>
      </w:r>
      <w:r w:rsidR="001F47A6">
        <w:rPr>
          <w:rFonts w:ascii="Bookman Old Style" w:hAnsi="Bookman Old Style" w:cs="Verdana"/>
          <w:sz w:val="22"/>
          <w:szCs w:val="22"/>
        </w:rPr>
        <w:t>13</w:t>
      </w:r>
      <w:r w:rsidR="00B60A42">
        <w:rPr>
          <w:rFonts w:ascii="Bookman Old Style" w:hAnsi="Bookman Old Style" w:cs="Verdana"/>
          <w:sz w:val="22"/>
          <w:szCs w:val="22"/>
        </w:rPr>
        <w:t xml:space="preserve"> </w:t>
      </w:r>
      <w:r w:rsidR="001F47A6">
        <w:rPr>
          <w:rFonts w:ascii="Bookman Old Style" w:hAnsi="Bookman Old Style" w:cs="Verdana"/>
          <w:sz w:val="22"/>
          <w:szCs w:val="22"/>
        </w:rPr>
        <w:t>giugno</w:t>
      </w:r>
      <w:r w:rsidR="00A06897">
        <w:rPr>
          <w:rFonts w:ascii="Bookman Old Style" w:hAnsi="Bookman Old Style" w:cs="Verdana"/>
          <w:sz w:val="22"/>
          <w:szCs w:val="22"/>
        </w:rPr>
        <w:t xml:space="preserve"> 2017</w:t>
      </w:r>
      <w:r w:rsidR="00B73C92">
        <w:rPr>
          <w:rFonts w:ascii="Bookman Old Style" w:hAnsi="Bookman Old Style" w:cs="Verdana"/>
          <w:sz w:val="22"/>
          <w:szCs w:val="22"/>
        </w:rPr>
        <w:t xml:space="preserve"> </w:t>
      </w:r>
      <w:r w:rsidR="002C64DC" w:rsidRPr="00E160D1">
        <w:rPr>
          <w:rFonts w:ascii="Bookman Old Style" w:hAnsi="Bookman Old Style" w:cs="Verdana"/>
          <w:sz w:val="22"/>
          <w:szCs w:val="22"/>
        </w:rPr>
        <w:t xml:space="preserve">ha assunto la seguente </w:t>
      </w:r>
    </w:p>
    <w:p w14:paraId="1362913D" w14:textId="77777777" w:rsidR="002C64DC" w:rsidRPr="00E160D1" w:rsidRDefault="002C64DC" w:rsidP="002C64DC">
      <w:pPr>
        <w:pStyle w:val="Corpotesto"/>
        <w:spacing w:line="480" w:lineRule="auto"/>
        <w:jc w:val="center"/>
        <w:rPr>
          <w:rFonts w:ascii="Bookman Old Style" w:hAnsi="Bookman Old Style" w:cs="Verdana"/>
        </w:rPr>
      </w:pPr>
      <w:r w:rsidRPr="00E160D1">
        <w:rPr>
          <w:rFonts w:ascii="Bookman Old Style" w:hAnsi="Bookman Old Style" w:cs="Verdana"/>
          <w:b/>
          <w:sz w:val="28"/>
          <w:szCs w:val="28"/>
        </w:rPr>
        <w:t>DELIBERAZIONE</w:t>
      </w:r>
    </w:p>
    <w:p w14:paraId="476A9951" w14:textId="226E237C" w:rsidR="00B924CB" w:rsidRPr="00E160D1" w:rsidRDefault="00A11675" w:rsidP="00B924CB">
      <w:pPr>
        <w:pStyle w:val="Corpotesto"/>
        <w:spacing w:line="480" w:lineRule="auto"/>
        <w:rPr>
          <w:rFonts w:ascii="Bookman Old Style" w:hAnsi="Bookman Old Style" w:cs="Verdana"/>
          <w:sz w:val="22"/>
          <w:szCs w:val="22"/>
        </w:rPr>
      </w:pPr>
      <w:r w:rsidRPr="00E160D1">
        <w:rPr>
          <w:rFonts w:ascii="Bookman Old Style" w:hAnsi="Bookman Old Style" w:cs="Verdana"/>
          <w:sz w:val="22"/>
          <w:szCs w:val="22"/>
        </w:rPr>
        <w:t xml:space="preserve">- vista la </w:t>
      </w:r>
      <w:r w:rsidR="00683804">
        <w:rPr>
          <w:rFonts w:ascii="Bookman Old Style" w:hAnsi="Bookman Old Style" w:cs="Verdana"/>
          <w:sz w:val="22"/>
          <w:szCs w:val="22"/>
        </w:rPr>
        <w:t>lett</w:t>
      </w:r>
      <w:r w:rsidR="00683804" w:rsidRPr="003C3448">
        <w:rPr>
          <w:rFonts w:ascii="Bookman Old Style" w:hAnsi="Bookman Old Style" w:cs="Verdana"/>
          <w:sz w:val="22"/>
          <w:szCs w:val="22"/>
        </w:rPr>
        <w:t>. prot. n.</w:t>
      </w:r>
      <w:r w:rsidR="003B24A6" w:rsidRPr="003C3448">
        <w:rPr>
          <w:rFonts w:ascii="Bookman Old Style" w:hAnsi="Bookman Old Style" w:cs="Verdana"/>
          <w:sz w:val="22"/>
          <w:szCs w:val="22"/>
        </w:rPr>
        <w:t xml:space="preserve"> </w:t>
      </w:r>
      <w:r w:rsidR="003C3448" w:rsidRPr="003C3448">
        <w:rPr>
          <w:rFonts w:ascii="Bookman Old Style" w:hAnsi="Bookman Old Style" w:cs="Verdana"/>
          <w:sz w:val="22"/>
          <w:szCs w:val="22"/>
        </w:rPr>
        <w:t>61</w:t>
      </w:r>
      <w:r w:rsidR="00B73C92" w:rsidRPr="003C3448">
        <w:rPr>
          <w:rFonts w:ascii="Bookman Old Style" w:hAnsi="Bookman Old Style" w:cs="Verdana"/>
          <w:sz w:val="22"/>
          <w:szCs w:val="22"/>
        </w:rPr>
        <w:t xml:space="preserve"> </w:t>
      </w:r>
      <w:r w:rsidR="00042C8F" w:rsidRPr="003C3448">
        <w:rPr>
          <w:rFonts w:ascii="Bookman Old Style" w:hAnsi="Bookman Old Style" w:cs="Verdana"/>
          <w:sz w:val="22"/>
          <w:szCs w:val="22"/>
        </w:rPr>
        <w:t>del</w:t>
      </w:r>
      <w:r w:rsidR="003C3448" w:rsidRPr="003C3448">
        <w:rPr>
          <w:rFonts w:ascii="Bookman Old Style" w:hAnsi="Bookman Old Style" w:cs="Verdana"/>
          <w:sz w:val="22"/>
          <w:szCs w:val="22"/>
        </w:rPr>
        <w:t xml:space="preserve">l’8 maggio </w:t>
      </w:r>
      <w:r w:rsidR="00FF4EFC" w:rsidRPr="003C3448">
        <w:rPr>
          <w:rFonts w:ascii="Bookman Old Style" w:hAnsi="Bookman Old Style" w:cs="Verdana"/>
          <w:sz w:val="22"/>
          <w:szCs w:val="22"/>
        </w:rPr>
        <w:t>2017</w:t>
      </w:r>
      <w:r w:rsidR="00B924CB" w:rsidRPr="003C3448">
        <w:rPr>
          <w:rFonts w:ascii="Bookman Old Style" w:hAnsi="Bookman Old Style" w:cs="Verdana"/>
          <w:sz w:val="22"/>
          <w:szCs w:val="22"/>
        </w:rPr>
        <w:t>, con la quale il Presidente del Consiglio delle Autonomie locali ha trasmesso alla Sezione la richiesta di parere formulata dal</w:t>
      </w:r>
      <w:r w:rsidR="002871ED" w:rsidRPr="003C3448">
        <w:rPr>
          <w:rFonts w:ascii="Bookman Old Style" w:hAnsi="Bookman Old Style" w:cs="Verdana"/>
          <w:sz w:val="22"/>
          <w:szCs w:val="22"/>
        </w:rPr>
        <w:t xml:space="preserve"> Comune di</w:t>
      </w:r>
      <w:r w:rsidR="00B73C92" w:rsidRPr="003C3448">
        <w:rPr>
          <w:rFonts w:ascii="Bookman Old Style" w:hAnsi="Bookman Old Style" w:cs="Verdana"/>
          <w:sz w:val="22"/>
          <w:szCs w:val="22"/>
        </w:rPr>
        <w:t xml:space="preserve"> </w:t>
      </w:r>
      <w:r w:rsidR="001F47A6" w:rsidRPr="003C3448">
        <w:rPr>
          <w:rFonts w:ascii="Bookman Old Style" w:hAnsi="Bookman Old Style" w:cs="Verdana"/>
          <w:sz w:val="22"/>
          <w:szCs w:val="22"/>
        </w:rPr>
        <w:t>Ceriale</w:t>
      </w:r>
      <w:r w:rsidR="00B73C92">
        <w:rPr>
          <w:rFonts w:ascii="Bookman Old Style" w:hAnsi="Bookman Old Style" w:cs="Verdana"/>
          <w:sz w:val="22"/>
          <w:szCs w:val="22"/>
        </w:rPr>
        <w:t xml:space="preserve"> (S</w:t>
      </w:r>
      <w:r w:rsidR="001F47A6">
        <w:rPr>
          <w:rFonts w:ascii="Bookman Old Style" w:hAnsi="Bookman Old Style" w:cs="Verdana"/>
          <w:sz w:val="22"/>
          <w:szCs w:val="22"/>
        </w:rPr>
        <w:t>V</w:t>
      </w:r>
      <w:r w:rsidR="00B73C92">
        <w:rPr>
          <w:rFonts w:ascii="Bookman Old Style" w:hAnsi="Bookman Old Style" w:cs="Verdana"/>
          <w:sz w:val="22"/>
          <w:szCs w:val="22"/>
        </w:rPr>
        <w:t>)</w:t>
      </w:r>
      <w:r w:rsidR="00B924CB" w:rsidRPr="00E160D1">
        <w:rPr>
          <w:rFonts w:ascii="Bookman Old Style" w:hAnsi="Bookman Old Style" w:cs="Verdana"/>
          <w:sz w:val="22"/>
          <w:szCs w:val="22"/>
        </w:rPr>
        <w:t>, ai sensi dell’art. 7</w:t>
      </w:r>
      <w:r w:rsidR="0060026F">
        <w:rPr>
          <w:rFonts w:ascii="Bookman Old Style" w:hAnsi="Bookman Old Style" w:cs="Verdana"/>
          <w:sz w:val="22"/>
          <w:szCs w:val="22"/>
        </w:rPr>
        <w:t xml:space="preserve">, comma </w:t>
      </w:r>
      <w:r w:rsidR="007D72B2">
        <w:rPr>
          <w:rFonts w:ascii="Bookman Old Style" w:hAnsi="Bookman Old Style" w:cs="Verdana"/>
          <w:sz w:val="22"/>
          <w:szCs w:val="22"/>
        </w:rPr>
        <w:t>8</w:t>
      </w:r>
      <w:r w:rsidR="004556B1">
        <w:rPr>
          <w:rFonts w:ascii="Bookman Old Style" w:hAnsi="Bookman Old Style" w:cs="Verdana"/>
          <w:sz w:val="22"/>
          <w:szCs w:val="22"/>
        </w:rPr>
        <w:t>,</w:t>
      </w:r>
      <w:r w:rsidR="00B924CB" w:rsidRPr="00E160D1">
        <w:rPr>
          <w:rFonts w:ascii="Bookman Old Style" w:hAnsi="Bookman Old Style" w:cs="Verdana"/>
          <w:sz w:val="22"/>
          <w:szCs w:val="22"/>
        </w:rPr>
        <w:t xml:space="preserve"> </w:t>
      </w:r>
      <w:r w:rsidR="003B24A6">
        <w:rPr>
          <w:rFonts w:ascii="Bookman Old Style" w:hAnsi="Bookman Old Style" w:cs="Verdana"/>
          <w:sz w:val="22"/>
          <w:szCs w:val="22"/>
        </w:rPr>
        <w:t xml:space="preserve">della legge </w:t>
      </w:r>
      <w:r w:rsidR="00B924CB" w:rsidRPr="00E160D1">
        <w:rPr>
          <w:rFonts w:ascii="Bookman Old Style" w:hAnsi="Bookman Old Style" w:cs="Verdana"/>
          <w:sz w:val="22"/>
          <w:szCs w:val="22"/>
        </w:rPr>
        <w:t>5 giugno 2003, n. 131;</w:t>
      </w:r>
    </w:p>
    <w:p w14:paraId="5F888F31" w14:textId="77777777" w:rsidR="00B924CB" w:rsidRPr="00E160D1" w:rsidRDefault="00B924CB" w:rsidP="00B924CB">
      <w:pPr>
        <w:pStyle w:val="Corpotesto"/>
        <w:spacing w:line="480" w:lineRule="auto"/>
        <w:rPr>
          <w:rFonts w:ascii="Bookman Old Style" w:hAnsi="Bookman Old Style" w:cs="Verdana"/>
          <w:sz w:val="22"/>
          <w:szCs w:val="22"/>
        </w:rPr>
      </w:pPr>
      <w:r w:rsidRPr="00E160D1">
        <w:rPr>
          <w:rFonts w:ascii="Bookman Old Style" w:hAnsi="Bookman Old Style" w:cs="Verdana"/>
          <w:sz w:val="22"/>
          <w:szCs w:val="22"/>
        </w:rPr>
        <w:t>- vista l’</w:t>
      </w:r>
      <w:r w:rsidR="00683804">
        <w:rPr>
          <w:rFonts w:ascii="Bookman Old Style" w:hAnsi="Bookman Old Style" w:cs="Verdana"/>
          <w:sz w:val="22"/>
          <w:szCs w:val="22"/>
        </w:rPr>
        <w:t>ordinanza presidenziale</w:t>
      </w:r>
      <w:r w:rsidR="0001493F">
        <w:rPr>
          <w:rFonts w:ascii="Bookman Old Style" w:hAnsi="Bookman Old Style" w:cs="Verdana"/>
          <w:sz w:val="22"/>
          <w:szCs w:val="22"/>
        </w:rPr>
        <w:t xml:space="preserve"> n.</w:t>
      </w:r>
      <w:r w:rsidR="002D636A">
        <w:rPr>
          <w:rFonts w:ascii="Bookman Old Style" w:hAnsi="Bookman Old Style" w:cs="Verdana"/>
          <w:sz w:val="22"/>
          <w:szCs w:val="22"/>
        </w:rPr>
        <w:t xml:space="preserve"> 41</w:t>
      </w:r>
      <w:r w:rsidR="00CD0862">
        <w:rPr>
          <w:rFonts w:ascii="Bookman Old Style" w:hAnsi="Bookman Old Style" w:cs="Verdana"/>
          <w:sz w:val="22"/>
          <w:szCs w:val="22"/>
        </w:rPr>
        <w:t>/2017</w:t>
      </w:r>
      <w:r w:rsidRPr="00E160D1">
        <w:rPr>
          <w:rFonts w:ascii="Bookman Old Style" w:hAnsi="Bookman Old Style" w:cs="Verdana"/>
          <w:sz w:val="22"/>
          <w:szCs w:val="22"/>
        </w:rPr>
        <w:t xml:space="preserve"> che ha deferito la questione all’esame collegiale della Sezione;</w:t>
      </w:r>
    </w:p>
    <w:p w14:paraId="14EA31AE" w14:textId="77777777" w:rsidR="00727D59" w:rsidRPr="00E160D1" w:rsidRDefault="00B924CB" w:rsidP="00F02284">
      <w:pPr>
        <w:pStyle w:val="Corpotesto"/>
        <w:spacing w:line="480" w:lineRule="auto"/>
        <w:rPr>
          <w:rFonts w:ascii="Bookman Old Style" w:hAnsi="Bookman Old Style" w:cs="Verdana"/>
          <w:sz w:val="22"/>
          <w:szCs w:val="22"/>
        </w:rPr>
      </w:pPr>
      <w:r w:rsidRPr="005450FD">
        <w:rPr>
          <w:rFonts w:ascii="Bookman Old Style" w:hAnsi="Bookman Old Style" w:cs="Verdana"/>
          <w:sz w:val="22"/>
          <w:szCs w:val="22"/>
        </w:rPr>
        <w:t>- udito</w:t>
      </w:r>
      <w:r w:rsidRPr="00E160D1">
        <w:rPr>
          <w:rFonts w:ascii="Bookman Old Style" w:hAnsi="Bookman Old Style" w:cs="Verdana"/>
          <w:sz w:val="22"/>
          <w:szCs w:val="22"/>
        </w:rPr>
        <w:t xml:space="preserve"> il magistrato relatore dott. Francesco Belsanti;</w:t>
      </w:r>
    </w:p>
    <w:p w14:paraId="7780A2BF" w14:textId="77777777" w:rsidR="00B924CB" w:rsidRPr="00CC742B" w:rsidRDefault="00B924CB" w:rsidP="00CC742B">
      <w:pPr>
        <w:pStyle w:val="Corpotesto"/>
        <w:spacing w:line="480" w:lineRule="auto"/>
        <w:jc w:val="center"/>
        <w:rPr>
          <w:rFonts w:ascii="Bookman Old Style" w:hAnsi="Bookman Old Style" w:cs="Verdana"/>
          <w:sz w:val="22"/>
          <w:szCs w:val="22"/>
        </w:rPr>
      </w:pPr>
      <w:r w:rsidRPr="00CC742B">
        <w:rPr>
          <w:rFonts w:ascii="Bookman Old Style" w:hAnsi="Bookman Old Style" w:cs="Verdana"/>
          <w:sz w:val="22"/>
          <w:szCs w:val="22"/>
        </w:rPr>
        <w:t>FATTO</w:t>
      </w:r>
    </w:p>
    <w:p w14:paraId="1CF05E9E" w14:textId="5F63A688" w:rsidR="001F47A6" w:rsidRDefault="007F7C01" w:rsidP="00CC742B">
      <w:pPr>
        <w:pStyle w:val="Corpotesto"/>
        <w:spacing w:line="480" w:lineRule="auto"/>
        <w:rPr>
          <w:rFonts w:ascii="Bookman Old Style" w:hAnsi="Bookman Old Style" w:cs="Verdana"/>
          <w:sz w:val="22"/>
          <w:szCs w:val="22"/>
        </w:rPr>
      </w:pPr>
      <w:r>
        <w:rPr>
          <w:rFonts w:ascii="Bookman Old Style" w:hAnsi="Bookman Old Style" w:cs="Verdana"/>
          <w:sz w:val="22"/>
          <w:szCs w:val="22"/>
        </w:rPr>
        <w:t xml:space="preserve">Con </w:t>
      </w:r>
      <w:r w:rsidRPr="006F210F">
        <w:rPr>
          <w:rFonts w:ascii="Bookman Old Style" w:hAnsi="Bookman Old Style" w:cs="Verdana"/>
          <w:sz w:val="22"/>
          <w:szCs w:val="22"/>
        </w:rPr>
        <w:t>istanza</w:t>
      </w:r>
      <w:r w:rsidR="00B73C92">
        <w:rPr>
          <w:rFonts w:ascii="Bookman Old Style" w:hAnsi="Bookman Old Style" w:cs="Verdana"/>
          <w:sz w:val="22"/>
          <w:szCs w:val="22"/>
        </w:rPr>
        <w:t xml:space="preserve"> n</w:t>
      </w:r>
      <w:r w:rsidR="00B73C92" w:rsidRPr="001F47A6">
        <w:rPr>
          <w:rFonts w:ascii="Bookman Old Style" w:hAnsi="Bookman Old Style" w:cs="Verdana"/>
          <w:b/>
          <w:sz w:val="22"/>
          <w:szCs w:val="22"/>
        </w:rPr>
        <w:t xml:space="preserve">. </w:t>
      </w:r>
      <w:r w:rsidR="003C3448" w:rsidRPr="003C3448">
        <w:rPr>
          <w:rFonts w:ascii="Bookman Old Style" w:hAnsi="Bookman Old Style" w:cs="Verdana"/>
          <w:sz w:val="22"/>
          <w:szCs w:val="22"/>
        </w:rPr>
        <w:t>7171</w:t>
      </w:r>
      <w:r w:rsidR="002871ED" w:rsidRPr="003C3448">
        <w:rPr>
          <w:rFonts w:ascii="Bookman Old Style" w:hAnsi="Bookman Old Style" w:cs="Verdana"/>
          <w:sz w:val="22"/>
          <w:szCs w:val="22"/>
        </w:rPr>
        <w:t xml:space="preserve"> del</w:t>
      </w:r>
      <w:r w:rsidR="003C3448" w:rsidRPr="003C3448">
        <w:rPr>
          <w:rFonts w:ascii="Bookman Old Style" w:hAnsi="Bookman Old Style" w:cs="Verdana"/>
          <w:sz w:val="22"/>
          <w:szCs w:val="22"/>
        </w:rPr>
        <w:t xml:space="preserve">l’11 aprile </w:t>
      </w:r>
      <w:r w:rsidR="00CD0862" w:rsidRPr="003C3448">
        <w:rPr>
          <w:rFonts w:ascii="Bookman Old Style" w:hAnsi="Bookman Old Style" w:cs="Verdana"/>
          <w:sz w:val="22"/>
          <w:szCs w:val="22"/>
        </w:rPr>
        <w:t>2017</w:t>
      </w:r>
      <w:r w:rsidR="00B924CB" w:rsidRPr="003C3448">
        <w:rPr>
          <w:rFonts w:ascii="Bookman Old Style" w:hAnsi="Bookman Old Style" w:cs="Verdana"/>
          <w:sz w:val="22"/>
          <w:szCs w:val="22"/>
        </w:rPr>
        <w:t>, trasmessa dal Presidente del Consiglio delle Autonomie Loc</w:t>
      </w:r>
      <w:r w:rsidR="00CF27C0" w:rsidRPr="003C3448">
        <w:rPr>
          <w:rFonts w:ascii="Bookman Old Style" w:hAnsi="Bookman Old Style" w:cs="Verdana"/>
          <w:sz w:val="22"/>
          <w:szCs w:val="22"/>
        </w:rPr>
        <w:t xml:space="preserve">ali della Liguria con nota </w:t>
      </w:r>
      <w:r w:rsidR="006F210F" w:rsidRPr="003C3448">
        <w:rPr>
          <w:rFonts w:ascii="Bookman Old Style" w:hAnsi="Bookman Old Style" w:cs="Verdana"/>
          <w:sz w:val="22"/>
          <w:szCs w:val="22"/>
        </w:rPr>
        <w:t>n.</w:t>
      </w:r>
      <w:r w:rsidR="006520D7" w:rsidRPr="003C3448">
        <w:rPr>
          <w:rFonts w:ascii="Bookman Old Style" w:hAnsi="Bookman Old Style" w:cs="Verdana"/>
          <w:sz w:val="22"/>
          <w:szCs w:val="22"/>
        </w:rPr>
        <w:t xml:space="preserve"> </w:t>
      </w:r>
      <w:r w:rsidR="003C3448" w:rsidRPr="003C3448">
        <w:rPr>
          <w:rFonts w:ascii="Bookman Old Style" w:hAnsi="Bookman Old Style" w:cs="Verdana"/>
          <w:sz w:val="22"/>
          <w:szCs w:val="22"/>
        </w:rPr>
        <w:t>61 dell’</w:t>
      </w:r>
      <w:r w:rsidR="0069746A">
        <w:rPr>
          <w:rFonts w:ascii="Bookman Old Style" w:hAnsi="Bookman Old Style" w:cs="Verdana"/>
          <w:sz w:val="22"/>
          <w:szCs w:val="22"/>
        </w:rPr>
        <w:t xml:space="preserve"> </w:t>
      </w:r>
      <w:r w:rsidR="003C3448" w:rsidRPr="003C3448">
        <w:rPr>
          <w:rFonts w:ascii="Bookman Old Style" w:hAnsi="Bookman Old Style" w:cs="Verdana"/>
          <w:sz w:val="22"/>
          <w:szCs w:val="22"/>
        </w:rPr>
        <w:t xml:space="preserve">8 maggio </w:t>
      </w:r>
      <w:r w:rsidR="00CD0862" w:rsidRPr="003C3448">
        <w:rPr>
          <w:rFonts w:ascii="Bookman Old Style" w:hAnsi="Bookman Old Style" w:cs="Verdana"/>
          <w:sz w:val="22"/>
          <w:szCs w:val="22"/>
        </w:rPr>
        <w:t>2017</w:t>
      </w:r>
      <w:r w:rsidR="00B73C92" w:rsidRPr="003C3448">
        <w:rPr>
          <w:rFonts w:ascii="Bookman Old Style" w:hAnsi="Bookman Old Style" w:cs="Verdana"/>
          <w:sz w:val="22"/>
          <w:szCs w:val="22"/>
        </w:rPr>
        <w:t xml:space="preserve"> </w:t>
      </w:r>
      <w:r w:rsidR="00B924CB" w:rsidRPr="003C3448">
        <w:rPr>
          <w:rFonts w:ascii="Bookman Old Style" w:hAnsi="Bookman Old Style" w:cs="Verdana"/>
          <w:sz w:val="22"/>
          <w:szCs w:val="22"/>
        </w:rPr>
        <w:t xml:space="preserve">ed assunta al protocollo della Segreteria della Sezione regionale di controllo della </w:t>
      </w:r>
      <w:r w:rsidR="00B924CB" w:rsidRPr="003C3448">
        <w:rPr>
          <w:rFonts w:ascii="Bookman Old Style" w:hAnsi="Bookman Old Style" w:cs="Verdana"/>
          <w:sz w:val="22"/>
          <w:szCs w:val="22"/>
        </w:rPr>
        <w:lastRenderedPageBreak/>
        <w:t>Corte dei c</w:t>
      </w:r>
      <w:r w:rsidR="006735F7" w:rsidRPr="003C3448">
        <w:rPr>
          <w:rFonts w:ascii="Bookman Old Style" w:hAnsi="Bookman Old Style" w:cs="Verdana"/>
          <w:sz w:val="22"/>
          <w:szCs w:val="22"/>
        </w:rPr>
        <w:t>onti per la Liguria il</w:t>
      </w:r>
      <w:r w:rsidR="002A0946" w:rsidRPr="003C3448">
        <w:rPr>
          <w:rFonts w:ascii="Bookman Old Style" w:hAnsi="Bookman Old Style" w:cs="Verdana"/>
          <w:sz w:val="22"/>
          <w:szCs w:val="22"/>
        </w:rPr>
        <w:t xml:space="preserve"> </w:t>
      </w:r>
      <w:r w:rsidR="009C54DD" w:rsidRPr="003C3448">
        <w:rPr>
          <w:rFonts w:ascii="Bookman Old Style" w:hAnsi="Bookman Old Style" w:cs="Verdana"/>
          <w:sz w:val="22"/>
          <w:szCs w:val="22"/>
        </w:rPr>
        <w:t>1</w:t>
      </w:r>
      <w:r w:rsidR="00E61D79">
        <w:rPr>
          <w:rFonts w:ascii="Bookman Old Style" w:hAnsi="Bookman Old Style" w:cs="Verdana"/>
          <w:sz w:val="22"/>
          <w:szCs w:val="22"/>
        </w:rPr>
        <w:t>0 maggio</w:t>
      </w:r>
      <w:r w:rsidR="00CD0862" w:rsidRPr="003C3448">
        <w:rPr>
          <w:rFonts w:ascii="Bookman Old Style" w:hAnsi="Bookman Old Style" w:cs="Verdana"/>
          <w:sz w:val="22"/>
          <w:szCs w:val="22"/>
        </w:rPr>
        <w:t xml:space="preserve"> 2017</w:t>
      </w:r>
      <w:r w:rsidR="00B73C92" w:rsidRPr="003C3448">
        <w:rPr>
          <w:rFonts w:ascii="Bookman Old Style" w:hAnsi="Bookman Old Style" w:cs="Verdana"/>
          <w:sz w:val="22"/>
          <w:szCs w:val="22"/>
        </w:rPr>
        <w:t xml:space="preserve"> </w:t>
      </w:r>
      <w:r w:rsidR="002871ED" w:rsidRPr="003C3448">
        <w:rPr>
          <w:rFonts w:ascii="Bookman Old Style" w:hAnsi="Bookman Old Style" w:cs="Verdana"/>
          <w:sz w:val="22"/>
          <w:szCs w:val="22"/>
        </w:rPr>
        <w:t>con il n.</w:t>
      </w:r>
      <w:r w:rsidR="00B73C92" w:rsidRPr="003C3448">
        <w:rPr>
          <w:rFonts w:ascii="Bookman Old Style" w:hAnsi="Bookman Old Style" w:cs="Verdana"/>
          <w:sz w:val="22"/>
          <w:szCs w:val="22"/>
        </w:rPr>
        <w:t xml:space="preserve"> 000</w:t>
      </w:r>
      <w:r w:rsidR="003C3448" w:rsidRPr="003C3448">
        <w:rPr>
          <w:rFonts w:ascii="Bookman Old Style" w:hAnsi="Bookman Old Style" w:cs="Verdana"/>
          <w:sz w:val="22"/>
          <w:szCs w:val="22"/>
        </w:rPr>
        <w:t>2601</w:t>
      </w:r>
      <w:r w:rsidR="00CD0862" w:rsidRPr="003C3448">
        <w:rPr>
          <w:rFonts w:ascii="Bookman Old Style" w:hAnsi="Bookman Old Style" w:cs="Verdana"/>
          <w:sz w:val="22"/>
          <w:szCs w:val="22"/>
        </w:rPr>
        <w:t>-</w:t>
      </w:r>
      <w:r w:rsidR="003C3448" w:rsidRPr="003C3448">
        <w:rPr>
          <w:rFonts w:ascii="Bookman Old Style" w:hAnsi="Bookman Old Style" w:cs="Verdana"/>
          <w:sz w:val="22"/>
          <w:szCs w:val="22"/>
        </w:rPr>
        <w:t>10</w:t>
      </w:r>
      <w:r w:rsidR="00FF4EFC" w:rsidRPr="003C3448">
        <w:rPr>
          <w:rFonts w:ascii="Bookman Old Style" w:hAnsi="Bookman Old Style" w:cs="Verdana"/>
          <w:sz w:val="22"/>
          <w:szCs w:val="22"/>
        </w:rPr>
        <w:t>/0</w:t>
      </w:r>
      <w:r w:rsidR="003C3448" w:rsidRPr="003C3448">
        <w:rPr>
          <w:rFonts w:ascii="Bookman Old Style" w:hAnsi="Bookman Old Style" w:cs="Verdana"/>
          <w:sz w:val="22"/>
          <w:szCs w:val="22"/>
        </w:rPr>
        <w:t>5</w:t>
      </w:r>
      <w:r w:rsidR="00CD0862" w:rsidRPr="003C3448">
        <w:rPr>
          <w:rFonts w:ascii="Bookman Old Style" w:hAnsi="Bookman Old Style" w:cs="Verdana"/>
          <w:sz w:val="22"/>
          <w:szCs w:val="22"/>
        </w:rPr>
        <w:t>/2017</w:t>
      </w:r>
      <w:r w:rsidR="00B73C92" w:rsidRPr="003C3448">
        <w:rPr>
          <w:rFonts w:ascii="Bookman Old Style" w:hAnsi="Bookman Old Style" w:cs="Verdana"/>
          <w:sz w:val="22"/>
          <w:szCs w:val="22"/>
        </w:rPr>
        <w:t>-SC_LIG-T85-A</w:t>
      </w:r>
      <w:r w:rsidR="00926CD4" w:rsidRPr="003C3448">
        <w:rPr>
          <w:rFonts w:ascii="Bookman Old Style" w:hAnsi="Bookman Old Style" w:cs="Verdana"/>
          <w:sz w:val="22"/>
          <w:szCs w:val="22"/>
        </w:rPr>
        <w:t xml:space="preserve">, </w:t>
      </w:r>
      <w:r w:rsidR="00683804" w:rsidRPr="003C3448">
        <w:rPr>
          <w:rFonts w:ascii="Bookman Old Style" w:hAnsi="Bookman Old Style" w:cs="Verdana"/>
          <w:sz w:val="22"/>
          <w:szCs w:val="22"/>
        </w:rPr>
        <w:t>il</w:t>
      </w:r>
      <w:r w:rsidR="00EB6F44" w:rsidRPr="003C3448">
        <w:rPr>
          <w:rFonts w:ascii="Bookman Old Style" w:hAnsi="Bookman Old Style" w:cs="Verdana"/>
          <w:sz w:val="22"/>
          <w:szCs w:val="22"/>
        </w:rPr>
        <w:t xml:space="preserve"> </w:t>
      </w:r>
      <w:r w:rsidR="002871ED" w:rsidRPr="003C3448">
        <w:rPr>
          <w:rFonts w:ascii="Bookman Old Style" w:hAnsi="Bookman Old Style" w:cs="Verdana"/>
          <w:sz w:val="22"/>
          <w:szCs w:val="22"/>
        </w:rPr>
        <w:t xml:space="preserve">Sindaco </w:t>
      </w:r>
      <w:r w:rsidR="007777DB" w:rsidRPr="00E160D1">
        <w:rPr>
          <w:rFonts w:ascii="Bookman Old Style" w:hAnsi="Bookman Old Style" w:cs="Verdana"/>
          <w:sz w:val="22"/>
          <w:szCs w:val="22"/>
        </w:rPr>
        <w:t xml:space="preserve">del </w:t>
      </w:r>
      <w:r w:rsidR="00B73C92">
        <w:rPr>
          <w:rFonts w:ascii="Bookman Old Style" w:hAnsi="Bookman Old Style" w:cs="Verdana"/>
          <w:sz w:val="22"/>
          <w:szCs w:val="22"/>
        </w:rPr>
        <w:t xml:space="preserve">Comune di </w:t>
      </w:r>
      <w:r w:rsidR="001F47A6">
        <w:rPr>
          <w:rFonts w:ascii="Bookman Old Style" w:hAnsi="Bookman Old Style" w:cs="Verdana"/>
          <w:sz w:val="22"/>
          <w:szCs w:val="22"/>
        </w:rPr>
        <w:t>Ceriale</w:t>
      </w:r>
      <w:r w:rsidR="00B73C92">
        <w:rPr>
          <w:rFonts w:ascii="Bookman Old Style" w:hAnsi="Bookman Old Style" w:cs="Verdana"/>
          <w:sz w:val="22"/>
          <w:szCs w:val="22"/>
        </w:rPr>
        <w:t xml:space="preserve"> </w:t>
      </w:r>
      <w:r w:rsidR="002A0946">
        <w:rPr>
          <w:rFonts w:ascii="Bookman Old Style" w:hAnsi="Bookman Old Style" w:cs="Verdana"/>
          <w:sz w:val="22"/>
          <w:szCs w:val="22"/>
        </w:rPr>
        <w:t xml:space="preserve">ha chiesto </w:t>
      </w:r>
      <w:r w:rsidR="00B924CB" w:rsidRPr="00E160D1">
        <w:rPr>
          <w:rFonts w:ascii="Bookman Old Style" w:hAnsi="Bookman Old Style" w:cs="Verdana"/>
          <w:sz w:val="22"/>
          <w:szCs w:val="22"/>
        </w:rPr>
        <w:t>alla Sezione di controllo un parere</w:t>
      </w:r>
      <w:r w:rsidR="001F47A6">
        <w:rPr>
          <w:rFonts w:ascii="Bookman Old Style" w:hAnsi="Bookman Old Style" w:cs="Verdana"/>
          <w:sz w:val="22"/>
          <w:szCs w:val="22"/>
        </w:rPr>
        <w:t xml:space="preserve"> in materia di spesa del personale. </w:t>
      </w:r>
    </w:p>
    <w:p w14:paraId="4C6A9629" w14:textId="1432391D" w:rsidR="001F47A6" w:rsidRPr="001F47A6" w:rsidRDefault="001F47A6" w:rsidP="001F47A6">
      <w:pPr>
        <w:pStyle w:val="Corpotesto"/>
        <w:spacing w:line="480" w:lineRule="auto"/>
        <w:rPr>
          <w:rFonts w:ascii="Bookman Old Style" w:hAnsi="Bookman Old Style" w:cs="Verdana"/>
          <w:sz w:val="22"/>
          <w:szCs w:val="22"/>
        </w:rPr>
      </w:pPr>
      <w:r>
        <w:rPr>
          <w:rFonts w:ascii="Bookman Old Style" w:hAnsi="Bookman Old Style" w:cs="Verdana"/>
          <w:sz w:val="22"/>
          <w:szCs w:val="22"/>
        </w:rPr>
        <w:t>In particolar</w:t>
      </w:r>
      <w:r w:rsidR="001170A6">
        <w:rPr>
          <w:rFonts w:ascii="Bookman Old Style" w:hAnsi="Bookman Old Style" w:cs="Verdana"/>
          <w:sz w:val="22"/>
          <w:szCs w:val="22"/>
        </w:rPr>
        <w:t>e, il Comune vuole sapere se l’e</w:t>
      </w:r>
      <w:r w:rsidRPr="001F47A6">
        <w:rPr>
          <w:rFonts w:ascii="Bookman Old Style" w:hAnsi="Bookman Old Style" w:cs="Verdana"/>
          <w:sz w:val="22"/>
          <w:szCs w:val="22"/>
        </w:rPr>
        <w:t>nte, soggetto al patt</w:t>
      </w:r>
      <w:r>
        <w:rPr>
          <w:rFonts w:ascii="Bookman Old Style" w:hAnsi="Bookman Old Style" w:cs="Verdana"/>
          <w:sz w:val="22"/>
          <w:szCs w:val="22"/>
        </w:rPr>
        <w:t>o</w:t>
      </w:r>
      <w:r w:rsidRPr="001F47A6">
        <w:rPr>
          <w:rFonts w:ascii="Bookman Old Style" w:hAnsi="Bookman Old Style" w:cs="Verdana"/>
          <w:sz w:val="22"/>
          <w:szCs w:val="22"/>
        </w:rPr>
        <w:t xml:space="preserve"> di stabilità </w:t>
      </w:r>
      <w:r>
        <w:rPr>
          <w:rFonts w:ascii="Bookman Old Style" w:hAnsi="Bookman Old Style" w:cs="Verdana"/>
          <w:sz w:val="22"/>
          <w:szCs w:val="22"/>
        </w:rPr>
        <w:t>(ora pareggio di bilancio),</w:t>
      </w:r>
      <w:r w:rsidRPr="001F47A6">
        <w:rPr>
          <w:rFonts w:ascii="Bookman Old Style" w:hAnsi="Bookman Old Style" w:cs="Verdana"/>
          <w:sz w:val="22"/>
          <w:szCs w:val="22"/>
        </w:rPr>
        <w:t xml:space="preserve"> debba inserire nel calcolo della spesa per</w:t>
      </w:r>
      <w:r>
        <w:rPr>
          <w:rFonts w:ascii="Bookman Old Style" w:hAnsi="Bookman Old Style" w:cs="Verdana"/>
          <w:sz w:val="22"/>
          <w:szCs w:val="22"/>
        </w:rPr>
        <w:t xml:space="preserve"> il personale, ai fini </w:t>
      </w:r>
      <w:r w:rsidRPr="001F47A6">
        <w:rPr>
          <w:rFonts w:ascii="Bookman Old Style" w:hAnsi="Bookman Old Style" w:cs="Verdana"/>
          <w:sz w:val="22"/>
          <w:szCs w:val="22"/>
        </w:rPr>
        <w:t>della verifica del rispetto del limite previsto dell'art. 1</w:t>
      </w:r>
      <w:r>
        <w:rPr>
          <w:rFonts w:ascii="Bookman Old Style" w:hAnsi="Bookman Old Style" w:cs="Verdana"/>
          <w:sz w:val="22"/>
          <w:szCs w:val="22"/>
        </w:rPr>
        <w:t>, comma</w:t>
      </w:r>
      <w:r w:rsidRPr="001F47A6">
        <w:rPr>
          <w:rFonts w:ascii="Bookman Old Style" w:hAnsi="Bookman Old Style" w:cs="Verdana"/>
          <w:sz w:val="22"/>
          <w:szCs w:val="22"/>
          <w:vertAlign w:val="superscript"/>
        </w:rPr>
        <w:t>.</w:t>
      </w:r>
      <w:r w:rsidRPr="001F47A6">
        <w:rPr>
          <w:rFonts w:ascii="Bookman Old Style" w:hAnsi="Bookman Old Style" w:cs="Verdana"/>
          <w:sz w:val="22"/>
          <w:szCs w:val="22"/>
        </w:rPr>
        <w:t xml:space="preserve"> 557</w:t>
      </w:r>
      <w:r>
        <w:rPr>
          <w:rFonts w:ascii="Bookman Old Style" w:hAnsi="Bookman Old Style" w:cs="Verdana"/>
          <w:sz w:val="22"/>
          <w:szCs w:val="22"/>
        </w:rPr>
        <w:t>,</w:t>
      </w:r>
      <w:r w:rsidRPr="001F47A6">
        <w:rPr>
          <w:rFonts w:ascii="Bookman Old Style" w:hAnsi="Bookman Old Style" w:cs="Verdana"/>
          <w:sz w:val="22"/>
          <w:szCs w:val="22"/>
        </w:rPr>
        <w:t xml:space="preserve"> </w:t>
      </w:r>
      <w:r w:rsidR="00121B5A">
        <w:rPr>
          <w:rFonts w:ascii="Bookman Old Style" w:hAnsi="Bookman Old Style" w:cs="Verdana"/>
          <w:sz w:val="22"/>
          <w:szCs w:val="22"/>
        </w:rPr>
        <w:t xml:space="preserve">della </w:t>
      </w:r>
      <w:r>
        <w:rPr>
          <w:rFonts w:ascii="Bookman Old Style" w:hAnsi="Bookman Old Style" w:cs="Verdana"/>
          <w:sz w:val="22"/>
          <w:szCs w:val="22"/>
        </w:rPr>
        <w:t>legge n.</w:t>
      </w:r>
      <w:r w:rsidR="000C26DC">
        <w:rPr>
          <w:rFonts w:ascii="Bookman Old Style" w:hAnsi="Bookman Old Style" w:cs="Verdana"/>
          <w:sz w:val="22"/>
          <w:szCs w:val="22"/>
        </w:rPr>
        <w:t xml:space="preserve"> 296 del </w:t>
      </w:r>
      <w:r w:rsidRPr="001F47A6">
        <w:rPr>
          <w:rFonts w:ascii="Bookman Old Style" w:hAnsi="Bookman Old Style" w:cs="Verdana"/>
          <w:sz w:val="22"/>
          <w:szCs w:val="22"/>
        </w:rPr>
        <w:t>2006</w:t>
      </w:r>
      <w:r w:rsidR="000C26DC">
        <w:rPr>
          <w:rFonts w:ascii="Bookman Old Style" w:hAnsi="Bookman Old Style" w:cs="Verdana"/>
          <w:sz w:val="22"/>
          <w:szCs w:val="22"/>
        </w:rPr>
        <w:t>,</w:t>
      </w:r>
      <w:r w:rsidRPr="001F47A6">
        <w:rPr>
          <w:rFonts w:ascii="Bookman Old Style" w:hAnsi="Bookman Old Style" w:cs="Verdana"/>
          <w:sz w:val="22"/>
          <w:szCs w:val="22"/>
        </w:rPr>
        <w:t xml:space="preserve"> rispetto alla media del triennio 2011-2</w:t>
      </w:r>
      <w:r w:rsidR="000C26DC">
        <w:rPr>
          <w:rFonts w:ascii="Bookman Old Style" w:hAnsi="Bookman Old Style" w:cs="Verdana"/>
          <w:sz w:val="22"/>
          <w:szCs w:val="22"/>
        </w:rPr>
        <w:t xml:space="preserve">013, anche gli oneri derivanti </w:t>
      </w:r>
      <w:r w:rsidRPr="001F47A6">
        <w:rPr>
          <w:rFonts w:ascii="Bookman Old Style" w:hAnsi="Bookman Old Style" w:cs="Verdana"/>
          <w:sz w:val="22"/>
          <w:szCs w:val="22"/>
        </w:rPr>
        <w:t xml:space="preserve">dall'erogazione degli incentivi per le </w:t>
      </w:r>
      <w:r w:rsidR="000C26DC">
        <w:rPr>
          <w:rFonts w:ascii="Bookman Old Style" w:hAnsi="Bookman Old Style" w:cs="Verdana"/>
          <w:sz w:val="22"/>
          <w:szCs w:val="22"/>
        </w:rPr>
        <w:t xml:space="preserve">funzioni tecniche </w:t>
      </w:r>
      <w:r w:rsidRPr="001F47A6">
        <w:rPr>
          <w:rFonts w:ascii="Bookman Old Style" w:hAnsi="Bookman Old Style" w:cs="Verdana"/>
          <w:sz w:val="22"/>
          <w:szCs w:val="22"/>
        </w:rPr>
        <w:t xml:space="preserve">di cui all'art. 113 del </w:t>
      </w:r>
      <w:r w:rsidR="0078153D">
        <w:rPr>
          <w:rFonts w:ascii="Bookman Old Style" w:hAnsi="Bookman Old Style" w:cs="Verdana"/>
          <w:sz w:val="22"/>
          <w:szCs w:val="22"/>
        </w:rPr>
        <w:t>d</w:t>
      </w:r>
      <w:r w:rsidR="000C26DC">
        <w:rPr>
          <w:rFonts w:ascii="Bookman Old Style" w:hAnsi="Bookman Old Style" w:cs="Verdana"/>
          <w:sz w:val="22"/>
          <w:szCs w:val="22"/>
        </w:rPr>
        <w:t>.</w:t>
      </w:r>
      <w:r w:rsidR="0078153D">
        <w:rPr>
          <w:rFonts w:ascii="Bookman Old Style" w:hAnsi="Bookman Old Style" w:cs="Verdana"/>
          <w:sz w:val="22"/>
          <w:szCs w:val="22"/>
        </w:rPr>
        <w:t>l</w:t>
      </w:r>
      <w:r w:rsidRPr="001F47A6">
        <w:rPr>
          <w:rFonts w:ascii="Bookman Old Style" w:hAnsi="Bookman Old Style" w:cs="Verdana"/>
          <w:sz w:val="22"/>
          <w:szCs w:val="22"/>
        </w:rPr>
        <w:t>gs</w:t>
      </w:r>
      <w:r w:rsidR="009D25CA">
        <w:rPr>
          <w:rFonts w:ascii="Bookman Old Style" w:hAnsi="Bookman Old Style" w:cs="Verdana"/>
          <w:sz w:val="22"/>
          <w:szCs w:val="22"/>
        </w:rPr>
        <w:t>.</w:t>
      </w:r>
      <w:r w:rsidRPr="001F47A6">
        <w:rPr>
          <w:rFonts w:ascii="Bookman Old Style" w:hAnsi="Bookman Old Style" w:cs="Verdana"/>
          <w:sz w:val="22"/>
          <w:szCs w:val="22"/>
        </w:rPr>
        <w:t xml:space="preserve"> </w:t>
      </w:r>
      <w:r w:rsidR="000C26DC">
        <w:rPr>
          <w:rFonts w:ascii="Bookman Old Style" w:hAnsi="Bookman Old Style" w:cs="Verdana"/>
          <w:sz w:val="22"/>
          <w:szCs w:val="22"/>
        </w:rPr>
        <w:t>n. 50 del 2016.</w:t>
      </w:r>
    </w:p>
    <w:p w14:paraId="300F76AA" w14:textId="55E24EDF" w:rsidR="001F47A6" w:rsidRPr="001F47A6" w:rsidRDefault="000C26DC" w:rsidP="001F47A6">
      <w:pPr>
        <w:pStyle w:val="Corpotesto"/>
        <w:spacing w:line="480" w:lineRule="auto"/>
        <w:rPr>
          <w:rFonts w:ascii="Bookman Old Style" w:hAnsi="Bookman Old Style" w:cs="Verdana"/>
          <w:sz w:val="22"/>
          <w:szCs w:val="22"/>
        </w:rPr>
      </w:pPr>
      <w:r>
        <w:rPr>
          <w:rFonts w:ascii="Bookman Old Style" w:hAnsi="Bookman Old Style" w:cs="Verdana"/>
          <w:sz w:val="22"/>
          <w:szCs w:val="22"/>
        </w:rPr>
        <w:t>La norma richiama</w:t>
      </w:r>
      <w:r w:rsidR="004556B1">
        <w:rPr>
          <w:rFonts w:ascii="Bookman Old Style" w:hAnsi="Bookman Old Style" w:cs="Verdana"/>
          <w:sz w:val="22"/>
          <w:szCs w:val="22"/>
        </w:rPr>
        <w:t>ta</w:t>
      </w:r>
      <w:r>
        <w:rPr>
          <w:rFonts w:ascii="Bookman Old Style" w:hAnsi="Bookman Old Style" w:cs="Verdana"/>
          <w:sz w:val="22"/>
          <w:szCs w:val="22"/>
        </w:rPr>
        <w:t xml:space="preserve"> prevede al comma 1 che </w:t>
      </w:r>
      <w:r w:rsidR="001F47A6" w:rsidRPr="001F47A6">
        <w:rPr>
          <w:rFonts w:ascii="Bookman Old Style" w:hAnsi="Bookman Old Style" w:cs="Verdana"/>
          <w:sz w:val="22"/>
          <w:szCs w:val="22"/>
        </w:rPr>
        <w:t>''</w:t>
      </w:r>
      <w:r w:rsidR="001F47A6" w:rsidRPr="000C26DC">
        <w:rPr>
          <w:rFonts w:ascii="Bookman Old Style" w:hAnsi="Bookman Old Style" w:cs="Verdana"/>
          <w:i/>
          <w:sz w:val="22"/>
          <w:szCs w:val="22"/>
        </w:rPr>
        <w:t>G</w:t>
      </w:r>
      <w:r w:rsidRPr="000C26DC">
        <w:rPr>
          <w:rFonts w:ascii="Bookman Old Style" w:hAnsi="Bookman Old Style" w:cs="Verdana"/>
          <w:i/>
          <w:sz w:val="22"/>
          <w:szCs w:val="22"/>
        </w:rPr>
        <w:t>li</w:t>
      </w:r>
      <w:r w:rsidR="001F47A6" w:rsidRPr="000C26DC">
        <w:rPr>
          <w:rFonts w:ascii="Bookman Old Style" w:hAnsi="Bookman Old Style" w:cs="Verdana"/>
          <w:i/>
          <w:sz w:val="22"/>
          <w:szCs w:val="22"/>
        </w:rPr>
        <w:t xml:space="preserve"> oneri inerenti alla progettazione, alla direzione dei lavori ovvero</w:t>
      </w:r>
      <w:r w:rsidRPr="000C26DC">
        <w:rPr>
          <w:rFonts w:ascii="Bookman Old Style" w:hAnsi="Bookman Old Style" w:cs="Verdana"/>
          <w:i/>
          <w:sz w:val="22"/>
          <w:szCs w:val="22"/>
        </w:rPr>
        <w:t xml:space="preserve"> al direttore dell'esecuzione, alla vigilanza, </w:t>
      </w:r>
      <w:r w:rsidR="001F47A6" w:rsidRPr="000C26DC">
        <w:rPr>
          <w:rFonts w:ascii="Bookman Old Style" w:hAnsi="Bookman Old Style" w:cs="Verdana"/>
          <w:i/>
          <w:sz w:val="22"/>
          <w:szCs w:val="22"/>
        </w:rPr>
        <w:t xml:space="preserve">ai </w:t>
      </w:r>
      <w:r w:rsidRPr="000C26DC">
        <w:rPr>
          <w:rFonts w:ascii="Bookman Old Style" w:hAnsi="Bookman Old Style" w:cs="Verdana"/>
          <w:i/>
          <w:sz w:val="22"/>
          <w:szCs w:val="22"/>
        </w:rPr>
        <w:t>collaudi tecni</w:t>
      </w:r>
      <w:r w:rsidR="001F47A6" w:rsidRPr="000C26DC">
        <w:rPr>
          <w:rFonts w:ascii="Bookman Old Style" w:hAnsi="Bookman Old Style" w:cs="Verdana"/>
          <w:i/>
          <w:sz w:val="22"/>
          <w:szCs w:val="22"/>
        </w:rPr>
        <w:t xml:space="preserve">ci e </w:t>
      </w:r>
      <w:r w:rsidRPr="000C26DC">
        <w:rPr>
          <w:rFonts w:ascii="Bookman Old Style" w:hAnsi="Bookman Old Style" w:cs="Verdana"/>
          <w:i/>
          <w:sz w:val="22"/>
          <w:szCs w:val="22"/>
        </w:rPr>
        <w:t>amministrativi</w:t>
      </w:r>
      <w:r w:rsidR="001F47A6" w:rsidRPr="000C26DC">
        <w:rPr>
          <w:rFonts w:ascii="Bookman Old Style" w:hAnsi="Bookman Old Style" w:cs="Verdana"/>
          <w:i/>
          <w:sz w:val="22"/>
          <w:szCs w:val="22"/>
        </w:rPr>
        <w:t xml:space="preserve"> ovvero alle verifiche di conf</w:t>
      </w:r>
      <w:r w:rsidRPr="000C26DC">
        <w:rPr>
          <w:rFonts w:ascii="Bookman Old Style" w:hAnsi="Bookman Old Style" w:cs="Verdana"/>
          <w:i/>
          <w:sz w:val="22"/>
          <w:szCs w:val="22"/>
        </w:rPr>
        <w:t>ormità</w:t>
      </w:r>
      <w:r w:rsidR="001F47A6" w:rsidRPr="000C26DC">
        <w:rPr>
          <w:rFonts w:ascii="Bookman Old Style" w:hAnsi="Bookman Old Style" w:cs="Verdana"/>
          <w:i/>
          <w:sz w:val="22"/>
          <w:szCs w:val="22"/>
        </w:rPr>
        <w:t>, al collaudo statico, agli studi e alle ricerche connessi, a</w:t>
      </w:r>
      <w:r w:rsidRPr="000C26DC">
        <w:rPr>
          <w:rFonts w:ascii="Bookman Old Style" w:hAnsi="Bookman Old Style" w:cs="Verdana"/>
          <w:i/>
          <w:sz w:val="22"/>
          <w:szCs w:val="22"/>
        </w:rPr>
        <w:t xml:space="preserve">lla progettazione </w:t>
      </w:r>
      <w:r w:rsidR="001F47A6" w:rsidRPr="000C26DC">
        <w:rPr>
          <w:rFonts w:ascii="Bookman Old Style" w:hAnsi="Bookman Old Style" w:cs="Verdana"/>
          <w:i/>
          <w:sz w:val="22"/>
          <w:szCs w:val="22"/>
        </w:rPr>
        <w:t>dei piani di sicurezza e di c</w:t>
      </w:r>
      <w:r w:rsidRPr="000C26DC">
        <w:rPr>
          <w:rFonts w:ascii="Bookman Old Style" w:hAnsi="Bookman Old Style" w:cs="Verdana"/>
          <w:i/>
          <w:sz w:val="22"/>
          <w:szCs w:val="22"/>
        </w:rPr>
        <w:t>oordinamento e al coordinamento</w:t>
      </w:r>
      <w:r w:rsidR="001F47A6" w:rsidRPr="000C26DC">
        <w:rPr>
          <w:rFonts w:ascii="Bookman Old Style" w:hAnsi="Bookman Old Style" w:cs="Verdana"/>
          <w:i/>
          <w:sz w:val="22"/>
          <w:szCs w:val="22"/>
        </w:rPr>
        <w:t xml:space="preserve"> della sicurezza in fase di esecuzione quando previsti ai sensi del decreto legislativo 9 aprile 2005 n. </w:t>
      </w:r>
      <w:r w:rsidR="004556B1">
        <w:rPr>
          <w:rFonts w:ascii="Bookman Old Style" w:hAnsi="Bookman Old Style" w:cs="Verdana"/>
          <w:i/>
          <w:sz w:val="22"/>
          <w:szCs w:val="22"/>
        </w:rPr>
        <w:t>8</w:t>
      </w:r>
      <w:r w:rsidR="001F47A6" w:rsidRPr="000C26DC">
        <w:rPr>
          <w:rFonts w:ascii="Bookman Old Style" w:hAnsi="Bookman Old Style" w:cs="Verdana"/>
          <w:i/>
          <w:sz w:val="22"/>
          <w:szCs w:val="22"/>
        </w:rPr>
        <w:t>1, al</w:t>
      </w:r>
      <w:r w:rsidRPr="000C26DC">
        <w:rPr>
          <w:rFonts w:ascii="Bookman Old Style" w:hAnsi="Bookman Old Style" w:cs="Verdana"/>
          <w:i/>
          <w:sz w:val="22"/>
          <w:szCs w:val="22"/>
        </w:rPr>
        <w:t xml:space="preserve">le prestazioni professionali e </w:t>
      </w:r>
      <w:r w:rsidR="001F47A6" w:rsidRPr="000C26DC">
        <w:rPr>
          <w:rFonts w:ascii="Bookman Old Style" w:hAnsi="Bookman Old Style" w:cs="Verdana"/>
          <w:i/>
          <w:sz w:val="22"/>
          <w:szCs w:val="22"/>
        </w:rPr>
        <w:t>specialistiche</w:t>
      </w:r>
      <w:r w:rsidR="001F47A6" w:rsidRPr="000C26DC">
        <w:rPr>
          <w:rFonts w:ascii="Bookman Old Style" w:hAnsi="Bookman Old Style" w:cs="Verdana"/>
          <w:i/>
          <w:sz w:val="22"/>
          <w:szCs w:val="22"/>
          <w:vertAlign w:val="superscript"/>
        </w:rPr>
        <w:t>,</w:t>
      </w:r>
      <w:r w:rsidR="001F47A6" w:rsidRPr="000C26DC">
        <w:rPr>
          <w:rFonts w:ascii="Bookman Old Style" w:hAnsi="Bookman Old Style" w:cs="Verdana"/>
          <w:i/>
          <w:sz w:val="22"/>
          <w:szCs w:val="22"/>
        </w:rPr>
        <w:t xml:space="preserve"> necessari</w:t>
      </w:r>
      <w:r w:rsidRPr="000C26DC">
        <w:rPr>
          <w:rFonts w:ascii="Bookman Old Style" w:hAnsi="Bookman Old Style" w:cs="Verdana"/>
          <w:i/>
          <w:sz w:val="22"/>
          <w:szCs w:val="22"/>
        </w:rPr>
        <w:t>e</w:t>
      </w:r>
      <w:r w:rsidR="001F47A6" w:rsidRPr="000C26DC">
        <w:rPr>
          <w:rFonts w:ascii="Bookman Old Style" w:hAnsi="Bookman Old Style" w:cs="Verdana"/>
          <w:i/>
          <w:sz w:val="22"/>
          <w:szCs w:val="22"/>
        </w:rPr>
        <w:t xml:space="preserve"> per la redazione di un progetto esecutivo completo in ogni dettaglio</w:t>
      </w:r>
      <w:r w:rsidRPr="000C26DC">
        <w:rPr>
          <w:rFonts w:ascii="Bookman Old Style" w:hAnsi="Bookman Old Style" w:cs="Verdana"/>
          <w:i/>
          <w:sz w:val="22"/>
          <w:szCs w:val="22"/>
        </w:rPr>
        <w:t>,</w:t>
      </w:r>
      <w:r w:rsidR="001F47A6" w:rsidRPr="000C26DC">
        <w:rPr>
          <w:rFonts w:ascii="Bookman Old Style" w:hAnsi="Bookman Old Style" w:cs="Verdana"/>
          <w:i/>
          <w:sz w:val="22"/>
          <w:szCs w:val="22"/>
        </w:rPr>
        <w:t xml:space="preserve"> fanno carico</w:t>
      </w:r>
      <w:r w:rsidRPr="000C26DC">
        <w:rPr>
          <w:rFonts w:ascii="Bookman Old Style" w:hAnsi="Bookman Old Style" w:cs="Verdana"/>
          <w:i/>
          <w:sz w:val="22"/>
          <w:szCs w:val="22"/>
          <w:vertAlign w:val="superscript"/>
        </w:rPr>
        <w:t xml:space="preserve"> </w:t>
      </w:r>
      <w:r w:rsidRPr="000C26DC">
        <w:rPr>
          <w:rFonts w:ascii="Bookman Old Style" w:hAnsi="Bookman Old Style" w:cs="Verdana"/>
          <w:i/>
          <w:sz w:val="22"/>
          <w:szCs w:val="22"/>
        </w:rPr>
        <w:t>agli stanziamenti previsti per l</w:t>
      </w:r>
      <w:r w:rsidR="001F47A6" w:rsidRPr="000C26DC">
        <w:rPr>
          <w:rFonts w:ascii="Bookman Old Style" w:hAnsi="Bookman Old Style" w:cs="Verdana"/>
          <w:i/>
          <w:sz w:val="22"/>
          <w:szCs w:val="22"/>
        </w:rPr>
        <w:t xml:space="preserve">a realizzazione dei singoli </w:t>
      </w:r>
      <w:r w:rsidR="004556B1">
        <w:rPr>
          <w:rFonts w:ascii="Bookman Old Style" w:hAnsi="Bookman Old Style" w:cs="Verdana"/>
          <w:i/>
          <w:sz w:val="22"/>
          <w:szCs w:val="22"/>
        </w:rPr>
        <w:t xml:space="preserve">appalti di </w:t>
      </w:r>
      <w:r w:rsidRPr="000C26DC">
        <w:rPr>
          <w:rFonts w:ascii="Bookman Old Style" w:hAnsi="Bookman Old Style" w:cs="Verdana"/>
          <w:i/>
          <w:sz w:val="22"/>
          <w:szCs w:val="22"/>
        </w:rPr>
        <w:t>lavori</w:t>
      </w:r>
      <w:r w:rsidR="004556B1">
        <w:rPr>
          <w:rFonts w:ascii="Bookman Old Style" w:hAnsi="Bookman Old Style" w:cs="Verdana"/>
          <w:i/>
          <w:sz w:val="22"/>
          <w:szCs w:val="22"/>
        </w:rPr>
        <w:t>, servizi e forniture</w:t>
      </w:r>
      <w:r w:rsidRPr="000C26DC">
        <w:rPr>
          <w:rFonts w:ascii="Bookman Old Style" w:hAnsi="Bookman Old Style" w:cs="Verdana"/>
          <w:i/>
          <w:sz w:val="22"/>
          <w:szCs w:val="22"/>
        </w:rPr>
        <w:t xml:space="preserve"> negli </w:t>
      </w:r>
      <w:r w:rsidR="001F47A6" w:rsidRPr="000C26DC">
        <w:rPr>
          <w:rFonts w:ascii="Bookman Old Style" w:hAnsi="Bookman Old Style" w:cs="Verdana"/>
          <w:i/>
          <w:sz w:val="22"/>
          <w:szCs w:val="22"/>
        </w:rPr>
        <w:t xml:space="preserve">stati di </w:t>
      </w:r>
      <w:r w:rsidRPr="000C26DC">
        <w:rPr>
          <w:rFonts w:ascii="Bookman Old Style" w:hAnsi="Bookman Old Style" w:cs="Verdana"/>
          <w:i/>
          <w:sz w:val="22"/>
          <w:szCs w:val="22"/>
        </w:rPr>
        <w:t xml:space="preserve">previsione della spesa o </w:t>
      </w:r>
      <w:r w:rsidR="001F47A6" w:rsidRPr="000C26DC">
        <w:rPr>
          <w:rFonts w:ascii="Bookman Old Style" w:hAnsi="Bookman Old Style" w:cs="Verdana"/>
          <w:i/>
          <w:sz w:val="22"/>
          <w:szCs w:val="22"/>
        </w:rPr>
        <w:t>nei b</w:t>
      </w:r>
      <w:r w:rsidRPr="000C26DC">
        <w:rPr>
          <w:rFonts w:ascii="Bookman Old Style" w:hAnsi="Bookman Old Style" w:cs="Verdana"/>
          <w:i/>
          <w:sz w:val="22"/>
          <w:szCs w:val="22"/>
        </w:rPr>
        <w:t>ilanci delle stazioni appaltanti.</w:t>
      </w:r>
    </w:p>
    <w:p w14:paraId="5C483471" w14:textId="05E78745" w:rsidR="001F47A6" w:rsidRPr="006E7C93" w:rsidRDefault="001F47A6" w:rsidP="001F47A6">
      <w:pPr>
        <w:pStyle w:val="Corpotesto"/>
        <w:spacing w:line="480" w:lineRule="auto"/>
        <w:rPr>
          <w:rFonts w:ascii="Bookman Old Style" w:hAnsi="Bookman Old Style" w:cs="Verdana"/>
          <w:sz w:val="22"/>
          <w:szCs w:val="22"/>
        </w:rPr>
      </w:pPr>
      <w:r w:rsidRPr="001F47A6">
        <w:rPr>
          <w:rFonts w:ascii="Bookman Old Style" w:hAnsi="Bookman Old Style" w:cs="Verdana"/>
          <w:sz w:val="22"/>
          <w:szCs w:val="22"/>
        </w:rPr>
        <w:t>Il successivo comma 2 stabilisce che</w:t>
      </w:r>
      <w:r w:rsidR="000C26DC">
        <w:rPr>
          <w:rFonts w:ascii="Bookman Old Style" w:hAnsi="Bookman Old Style" w:cs="Verdana"/>
          <w:sz w:val="22"/>
          <w:szCs w:val="22"/>
        </w:rPr>
        <w:t xml:space="preserve">, </w:t>
      </w:r>
      <w:r w:rsidR="000D7422">
        <w:rPr>
          <w:rFonts w:ascii="Bookman Old Style" w:hAnsi="Bookman Old Style" w:cs="Verdana"/>
          <w:sz w:val="22"/>
          <w:szCs w:val="22"/>
        </w:rPr>
        <w:t>“</w:t>
      </w:r>
      <w:r w:rsidR="000C26DC" w:rsidRPr="000D7422">
        <w:rPr>
          <w:rFonts w:ascii="Bookman Old Style" w:hAnsi="Bookman Old Style" w:cs="Verdana"/>
          <w:i/>
          <w:sz w:val="22"/>
          <w:szCs w:val="22"/>
        </w:rPr>
        <w:t xml:space="preserve">a </w:t>
      </w:r>
      <w:r w:rsidRPr="000D7422">
        <w:rPr>
          <w:rFonts w:ascii="Bookman Old Style" w:hAnsi="Bookman Old Style" w:cs="Verdana"/>
          <w:i/>
          <w:sz w:val="22"/>
          <w:szCs w:val="22"/>
        </w:rPr>
        <w:t xml:space="preserve">valere sugli stanziamenti di </w:t>
      </w:r>
      <w:r w:rsidR="000C26DC" w:rsidRPr="000D7422">
        <w:rPr>
          <w:rFonts w:ascii="Bookman Old Style" w:hAnsi="Bookman Old Style" w:cs="Verdana"/>
          <w:i/>
          <w:sz w:val="22"/>
          <w:szCs w:val="22"/>
        </w:rPr>
        <w:t xml:space="preserve">cui </w:t>
      </w:r>
      <w:r w:rsidRPr="000D7422">
        <w:rPr>
          <w:rFonts w:ascii="Bookman Old Style" w:hAnsi="Bookman Old Style" w:cs="Verdana"/>
          <w:i/>
          <w:sz w:val="22"/>
          <w:szCs w:val="22"/>
        </w:rPr>
        <w:t>al comma 1</w:t>
      </w:r>
      <w:r w:rsidR="000C26DC" w:rsidRPr="000D7422">
        <w:rPr>
          <w:rFonts w:ascii="Bookman Old Style" w:hAnsi="Bookman Old Style" w:cs="Verdana"/>
          <w:i/>
          <w:sz w:val="22"/>
          <w:szCs w:val="22"/>
        </w:rPr>
        <w:t>,</w:t>
      </w:r>
      <w:r w:rsidRPr="000D7422">
        <w:rPr>
          <w:rFonts w:ascii="Bookman Old Style" w:hAnsi="Bookman Old Style" w:cs="Verdana"/>
          <w:i/>
          <w:sz w:val="22"/>
          <w:szCs w:val="22"/>
        </w:rPr>
        <w:t xml:space="preserve"> le amministrazioni </w:t>
      </w:r>
      <w:r w:rsidR="004556B1">
        <w:rPr>
          <w:rFonts w:ascii="Bookman Old Style" w:hAnsi="Bookman Old Style" w:cs="Verdana"/>
          <w:i/>
          <w:sz w:val="22"/>
          <w:szCs w:val="22"/>
        </w:rPr>
        <w:t>aggiudicatrici</w:t>
      </w:r>
      <w:r w:rsidRPr="000D7422">
        <w:rPr>
          <w:rFonts w:ascii="Bookman Old Style" w:hAnsi="Bookman Old Style" w:cs="Verdana"/>
          <w:i/>
          <w:sz w:val="22"/>
          <w:szCs w:val="22"/>
        </w:rPr>
        <w:t xml:space="preserve"> destinano a</w:t>
      </w:r>
      <w:r w:rsidR="004556B1">
        <w:rPr>
          <w:rFonts w:ascii="Bookman Old Style" w:hAnsi="Bookman Old Style" w:cs="Verdana"/>
          <w:i/>
          <w:sz w:val="22"/>
          <w:szCs w:val="22"/>
        </w:rPr>
        <w:t>d</w:t>
      </w:r>
      <w:r w:rsidRPr="000D7422">
        <w:rPr>
          <w:rFonts w:ascii="Bookman Old Style" w:hAnsi="Bookman Old Style" w:cs="Verdana"/>
          <w:i/>
          <w:sz w:val="22"/>
          <w:szCs w:val="22"/>
        </w:rPr>
        <w:t xml:space="preserve"> un </w:t>
      </w:r>
      <w:r w:rsidR="000C26DC" w:rsidRPr="000D7422">
        <w:rPr>
          <w:rFonts w:ascii="Bookman Old Style" w:hAnsi="Bookman Old Style" w:cs="Verdana"/>
          <w:i/>
          <w:sz w:val="22"/>
          <w:szCs w:val="22"/>
        </w:rPr>
        <w:t>apposito fondo ris</w:t>
      </w:r>
      <w:r w:rsidRPr="000D7422">
        <w:rPr>
          <w:rFonts w:ascii="Bookman Old Style" w:hAnsi="Bookman Old Style" w:cs="Verdana"/>
          <w:i/>
          <w:sz w:val="22"/>
          <w:szCs w:val="22"/>
        </w:rPr>
        <w:t xml:space="preserve">orse finanziarie in misura non </w:t>
      </w:r>
      <w:r w:rsidR="000C26DC" w:rsidRPr="000D7422">
        <w:rPr>
          <w:rFonts w:ascii="Bookman Old Style" w:hAnsi="Bookman Old Style" w:cs="Verdana"/>
          <w:i/>
          <w:sz w:val="22"/>
          <w:szCs w:val="22"/>
        </w:rPr>
        <w:t xml:space="preserve">superiore </w:t>
      </w:r>
      <w:r w:rsidRPr="000D7422">
        <w:rPr>
          <w:rFonts w:ascii="Bookman Old Style" w:hAnsi="Bookman Old Style" w:cs="Verdana"/>
          <w:i/>
          <w:sz w:val="22"/>
          <w:szCs w:val="22"/>
        </w:rPr>
        <w:t>al 2 per cento modulate sull'</w:t>
      </w:r>
      <w:r w:rsidR="000C26DC" w:rsidRPr="000D7422">
        <w:rPr>
          <w:rFonts w:ascii="Bookman Old Style" w:hAnsi="Bookman Old Style" w:cs="Verdana"/>
          <w:i/>
          <w:sz w:val="22"/>
          <w:szCs w:val="22"/>
        </w:rPr>
        <w:t>incarico</w:t>
      </w:r>
      <w:r w:rsidR="004556B1">
        <w:rPr>
          <w:rFonts w:ascii="Bookman Old Style" w:hAnsi="Bookman Old Style" w:cs="Verdana"/>
          <w:i/>
          <w:sz w:val="22"/>
          <w:szCs w:val="22"/>
        </w:rPr>
        <w:t xml:space="preserve"> dei lavori, servi</w:t>
      </w:r>
      <w:r w:rsidR="00045C3B">
        <w:rPr>
          <w:rFonts w:ascii="Bookman Old Style" w:hAnsi="Bookman Old Style" w:cs="Verdana"/>
          <w:i/>
          <w:sz w:val="22"/>
          <w:szCs w:val="22"/>
        </w:rPr>
        <w:t>zi</w:t>
      </w:r>
      <w:r w:rsidR="004556B1">
        <w:rPr>
          <w:rFonts w:ascii="Bookman Old Style" w:hAnsi="Bookman Old Style" w:cs="Verdana"/>
          <w:i/>
          <w:sz w:val="22"/>
          <w:szCs w:val="22"/>
        </w:rPr>
        <w:t xml:space="preserve"> e forniture, </w:t>
      </w:r>
      <w:r w:rsidRPr="000D7422">
        <w:rPr>
          <w:rFonts w:ascii="Bookman Old Style" w:hAnsi="Bookman Old Style" w:cs="Verdana"/>
          <w:i/>
          <w:sz w:val="22"/>
          <w:szCs w:val="22"/>
        </w:rPr>
        <w:t>po</w:t>
      </w:r>
      <w:r w:rsidR="000C26DC" w:rsidRPr="000D7422">
        <w:rPr>
          <w:rFonts w:ascii="Bookman Old Style" w:hAnsi="Bookman Old Style" w:cs="Verdana"/>
          <w:i/>
          <w:sz w:val="22"/>
          <w:szCs w:val="22"/>
        </w:rPr>
        <w:t>sti</w:t>
      </w:r>
      <w:r w:rsidRPr="000D7422">
        <w:rPr>
          <w:rFonts w:ascii="Bookman Old Style" w:hAnsi="Bookman Old Style" w:cs="Verdana"/>
          <w:i/>
          <w:sz w:val="22"/>
          <w:szCs w:val="22"/>
        </w:rPr>
        <w:t xml:space="preserve"> a base </w:t>
      </w:r>
      <w:r w:rsidR="000C26DC" w:rsidRPr="000D7422">
        <w:rPr>
          <w:rFonts w:ascii="Bookman Old Style" w:hAnsi="Bookman Old Style" w:cs="Verdana"/>
          <w:i/>
          <w:sz w:val="22"/>
          <w:szCs w:val="22"/>
        </w:rPr>
        <w:t>di gara per l</w:t>
      </w:r>
      <w:r w:rsidRPr="000D7422">
        <w:rPr>
          <w:rFonts w:ascii="Bookman Old Style" w:hAnsi="Bookman Old Style" w:cs="Verdana"/>
          <w:i/>
          <w:sz w:val="22"/>
          <w:szCs w:val="22"/>
        </w:rPr>
        <w:t xml:space="preserve">e funzioni tecniche svolte dai dipendenti </w:t>
      </w:r>
      <w:r w:rsidR="004556B1">
        <w:rPr>
          <w:rFonts w:ascii="Bookman Old Style" w:hAnsi="Bookman Old Style" w:cs="Verdana"/>
          <w:i/>
          <w:sz w:val="22"/>
          <w:szCs w:val="22"/>
        </w:rPr>
        <w:t xml:space="preserve">delle stesse </w:t>
      </w:r>
      <w:r w:rsidRPr="000D7422">
        <w:rPr>
          <w:rFonts w:ascii="Bookman Old Style" w:hAnsi="Bookman Old Style" w:cs="Verdana"/>
          <w:i/>
          <w:sz w:val="22"/>
          <w:szCs w:val="22"/>
        </w:rPr>
        <w:t xml:space="preserve">esclusivamente per le </w:t>
      </w:r>
      <w:r w:rsidR="000C26DC" w:rsidRPr="000D7422">
        <w:rPr>
          <w:rFonts w:ascii="Bookman Old Style" w:hAnsi="Bookman Old Style" w:cs="Verdana"/>
          <w:i/>
          <w:sz w:val="22"/>
          <w:szCs w:val="22"/>
        </w:rPr>
        <w:t>attività</w:t>
      </w:r>
      <w:r w:rsidRPr="000D7422">
        <w:rPr>
          <w:rFonts w:ascii="Bookman Old Style" w:hAnsi="Bookman Old Style" w:cs="Verdana"/>
          <w:i/>
          <w:sz w:val="22"/>
          <w:szCs w:val="22"/>
        </w:rPr>
        <w:t xml:space="preserve"> di programmazione della spesa per investimenti,</w:t>
      </w:r>
      <w:r w:rsidR="004556B1">
        <w:rPr>
          <w:rFonts w:ascii="Bookman Old Style" w:hAnsi="Bookman Old Style" w:cs="Verdana"/>
          <w:i/>
          <w:sz w:val="22"/>
          <w:szCs w:val="22"/>
        </w:rPr>
        <w:t xml:space="preserve"> di valutazione </w:t>
      </w:r>
      <w:r w:rsidR="000C26DC" w:rsidRPr="000D7422">
        <w:rPr>
          <w:rFonts w:ascii="Bookman Old Style" w:hAnsi="Bookman Old Style" w:cs="Verdana"/>
          <w:i/>
          <w:sz w:val="22"/>
          <w:szCs w:val="22"/>
        </w:rPr>
        <w:t>preventiva</w:t>
      </w:r>
      <w:r w:rsidRPr="000D7422">
        <w:rPr>
          <w:rFonts w:ascii="Bookman Old Style" w:hAnsi="Bookman Old Style" w:cs="Verdana"/>
          <w:i/>
          <w:sz w:val="22"/>
          <w:szCs w:val="22"/>
        </w:rPr>
        <w:t xml:space="preserve"> dei progetti</w:t>
      </w:r>
      <w:r w:rsidR="004556B1">
        <w:rPr>
          <w:rFonts w:ascii="Bookman Old Style" w:hAnsi="Bookman Old Style" w:cs="Verdana"/>
          <w:i/>
          <w:sz w:val="22"/>
          <w:szCs w:val="22"/>
        </w:rPr>
        <w:t>,</w:t>
      </w:r>
      <w:r w:rsidRPr="000D7422">
        <w:rPr>
          <w:rFonts w:ascii="Bookman Old Style" w:hAnsi="Bookman Old Style" w:cs="Verdana"/>
          <w:i/>
          <w:sz w:val="22"/>
          <w:szCs w:val="22"/>
        </w:rPr>
        <w:t xml:space="preserve"> di predisposizione</w:t>
      </w:r>
      <w:r w:rsidR="000C26DC" w:rsidRPr="000D7422">
        <w:rPr>
          <w:rFonts w:ascii="Bookman Old Style" w:hAnsi="Bookman Old Style" w:cs="Verdana"/>
          <w:i/>
          <w:sz w:val="22"/>
          <w:szCs w:val="22"/>
          <w:vertAlign w:val="superscript"/>
        </w:rPr>
        <w:t xml:space="preserve"> </w:t>
      </w:r>
      <w:r w:rsidR="000C26DC" w:rsidRPr="000D7422">
        <w:rPr>
          <w:rFonts w:ascii="Bookman Old Style" w:hAnsi="Bookman Old Style" w:cs="Verdana"/>
          <w:i/>
          <w:sz w:val="22"/>
          <w:szCs w:val="22"/>
        </w:rPr>
        <w:t>e d</w:t>
      </w:r>
      <w:r w:rsidR="004556B1">
        <w:rPr>
          <w:rFonts w:ascii="Bookman Old Style" w:hAnsi="Bookman Old Style" w:cs="Verdana"/>
          <w:i/>
          <w:sz w:val="22"/>
          <w:szCs w:val="22"/>
        </w:rPr>
        <w:t>i</w:t>
      </w:r>
      <w:r w:rsidR="000C26DC" w:rsidRPr="000D7422">
        <w:rPr>
          <w:rFonts w:ascii="Bookman Old Style" w:hAnsi="Bookman Old Style" w:cs="Verdana"/>
          <w:i/>
          <w:sz w:val="22"/>
          <w:szCs w:val="22"/>
        </w:rPr>
        <w:t xml:space="preserve"> controllo delle proce</w:t>
      </w:r>
      <w:r w:rsidRPr="000D7422">
        <w:rPr>
          <w:rFonts w:ascii="Bookman Old Style" w:hAnsi="Bookman Old Style" w:cs="Verdana"/>
          <w:i/>
          <w:sz w:val="22"/>
          <w:szCs w:val="22"/>
        </w:rPr>
        <w:t xml:space="preserve">dure di </w:t>
      </w:r>
      <w:r w:rsidR="004556B1">
        <w:rPr>
          <w:rFonts w:ascii="Bookman Old Style" w:hAnsi="Bookman Old Style" w:cs="Verdana"/>
          <w:i/>
          <w:sz w:val="22"/>
          <w:szCs w:val="22"/>
        </w:rPr>
        <w:t>gara</w:t>
      </w:r>
      <w:r w:rsidRPr="000D7422">
        <w:rPr>
          <w:rFonts w:ascii="Bookman Old Style" w:hAnsi="Bookman Old Style" w:cs="Verdana"/>
          <w:i/>
          <w:sz w:val="22"/>
          <w:szCs w:val="22"/>
        </w:rPr>
        <w:t xml:space="preserve"> e di esecuzione </w:t>
      </w:r>
      <w:r w:rsidR="000C26DC" w:rsidRPr="000D7422">
        <w:rPr>
          <w:rFonts w:ascii="Bookman Old Style" w:hAnsi="Bookman Old Style" w:cs="Verdana"/>
          <w:i/>
          <w:sz w:val="22"/>
          <w:szCs w:val="22"/>
        </w:rPr>
        <w:t>dei contrat</w:t>
      </w:r>
      <w:r w:rsidRPr="000D7422">
        <w:rPr>
          <w:rFonts w:ascii="Bookman Old Style" w:hAnsi="Bookman Old Style" w:cs="Verdana"/>
          <w:i/>
          <w:sz w:val="22"/>
          <w:szCs w:val="22"/>
        </w:rPr>
        <w:t xml:space="preserve">ti </w:t>
      </w:r>
      <w:r w:rsidR="000C26DC" w:rsidRPr="000D7422">
        <w:rPr>
          <w:rFonts w:ascii="Bookman Old Style" w:hAnsi="Bookman Old Style" w:cs="Verdana"/>
          <w:i/>
          <w:sz w:val="22"/>
          <w:szCs w:val="22"/>
        </w:rPr>
        <w:t>pubblici, di</w:t>
      </w:r>
      <w:r w:rsidRPr="000D7422">
        <w:rPr>
          <w:rFonts w:ascii="Bookman Old Style" w:hAnsi="Bookman Old Style" w:cs="Verdana"/>
          <w:i/>
          <w:sz w:val="22"/>
          <w:szCs w:val="22"/>
        </w:rPr>
        <w:t xml:space="preserve"> </w:t>
      </w:r>
      <w:r w:rsidRPr="000D7422">
        <w:rPr>
          <w:rFonts w:ascii="Bookman Old Style" w:hAnsi="Bookman Old Style" w:cs="Verdana"/>
          <w:i/>
          <w:sz w:val="22"/>
          <w:szCs w:val="22"/>
        </w:rPr>
        <w:lastRenderedPageBreak/>
        <w:t xml:space="preserve">responsabile unico del </w:t>
      </w:r>
      <w:r w:rsidR="000C26DC" w:rsidRPr="000D7422">
        <w:rPr>
          <w:rFonts w:ascii="Bookman Old Style" w:hAnsi="Bookman Old Style" w:cs="Verdana"/>
          <w:i/>
          <w:sz w:val="22"/>
          <w:szCs w:val="22"/>
        </w:rPr>
        <w:t xml:space="preserve">procedimento, di direzione dei lavori </w:t>
      </w:r>
      <w:r w:rsidRPr="000D7422">
        <w:rPr>
          <w:rFonts w:ascii="Bookman Old Style" w:hAnsi="Bookman Old Style" w:cs="Verdana"/>
          <w:i/>
          <w:sz w:val="22"/>
          <w:szCs w:val="22"/>
        </w:rPr>
        <w:t>ovvero direzione dell'esecuzione e di coll</w:t>
      </w:r>
      <w:r w:rsidR="000C26DC" w:rsidRPr="000D7422">
        <w:rPr>
          <w:rFonts w:ascii="Bookman Old Style" w:hAnsi="Bookman Old Style" w:cs="Verdana"/>
          <w:i/>
          <w:sz w:val="22"/>
          <w:szCs w:val="22"/>
        </w:rPr>
        <w:t>aud</w:t>
      </w:r>
      <w:r w:rsidRPr="000D7422">
        <w:rPr>
          <w:rFonts w:ascii="Bookman Old Style" w:hAnsi="Bookman Old Style" w:cs="Verdana"/>
          <w:i/>
          <w:sz w:val="22"/>
          <w:szCs w:val="22"/>
        </w:rPr>
        <w:t xml:space="preserve">o tecnico </w:t>
      </w:r>
      <w:r w:rsidR="000C26DC" w:rsidRPr="000D7422">
        <w:rPr>
          <w:rFonts w:ascii="Bookman Old Style" w:hAnsi="Bookman Old Style" w:cs="Verdana"/>
          <w:i/>
          <w:sz w:val="22"/>
          <w:szCs w:val="22"/>
        </w:rPr>
        <w:t xml:space="preserve">amministrativo ovvero di </w:t>
      </w:r>
      <w:r w:rsidRPr="000D7422">
        <w:rPr>
          <w:rFonts w:ascii="Bookman Old Style" w:hAnsi="Bookman Old Style" w:cs="Verdana"/>
          <w:i/>
          <w:sz w:val="22"/>
          <w:szCs w:val="22"/>
        </w:rPr>
        <w:t>ve</w:t>
      </w:r>
      <w:r w:rsidR="000C26DC" w:rsidRPr="000D7422">
        <w:rPr>
          <w:rFonts w:ascii="Bookman Old Style" w:hAnsi="Bookman Old Style" w:cs="Verdana"/>
          <w:i/>
          <w:sz w:val="22"/>
          <w:szCs w:val="22"/>
        </w:rPr>
        <w:t>rifica di conformità</w:t>
      </w:r>
      <w:r w:rsidR="00030C37">
        <w:rPr>
          <w:rFonts w:ascii="Bookman Old Style" w:hAnsi="Bookman Old Style" w:cs="Verdana"/>
          <w:i/>
          <w:sz w:val="22"/>
          <w:szCs w:val="22"/>
        </w:rPr>
        <w:t>,</w:t>
      </w:r>
      <w:r w:rsidRPr="000D7422">
        <w:rPr>
          <w:rFonts w:ascii="Bookman Old Style" w:hAnsi="Bookman Old Style" w:cs="Verdana"/>
          <w:i/>
          <w:sz w:val="22"/>
          <w:szCs w:val="22"/>
        </w:rPr>
        <w:t xml:space="preserve"> di </w:t>
      </w:r>
      <w:r w:rsidR="000C26DC" w:rsidRPr="000D7422">
        <w:rPr>
          <w:rFonts w:ascii="Bookman Old Style" w:hAnsi="Bookman Old Style" w:cs="Verdana"/>
          <w:i/>
          <w:sz w:val="22"/>
          <w:szCs w:val="22"/>
        </w:rPr>
        <w:t>collaudatore</w:t>
      </w:r>
      <w:r w:rsidRPr="000D7422">
        <w:rPr>
          <w:rFonts w:ascii="Bookman Old Style" w:hAnsi="Bookman Old Style" w:cs="Verdana"/>
          <w:i/>
          <w:sz w:val="22"/>
          <w:szCs w:val="22"/>
        </w:rPr>
        <w:t xml:space="preserve"> stati</w:t>
      </w:r>
      <w:r w:rsidR="000C26DC" w:rsidRPr="000D7422">
        <w:rPr>
          <w:rFonts w:ascii="Bookman Old Style" w:hAnsi="Bookman Old Style" w:cs="Verdana"/>
          <w:i/>
          <w:sz w:val="22"/>
          <w:szCs w:val="22"/>
        </w:rPr>
        <w:t xml:space="preserve">co ove necessario per consentire l'esecuzione </w:t>
      </w:r>
      <w:r w:rsidRPr="000D7422">
        <w:rPr>
          <w:rFonts w:ascii="Bookman Old Style" w:hAnsi="Bookman Old Style" w:cs="Verdana"/>
          <w:i/>
          <w:sz w:val="22"/>
          <w:szCs w:val="22"/>
        </w:rPr>
        <w:t>del contratto nel rispetto de</w:t>
      </w:r>
      <w:r w:rsidR="00D21776">
        <w:rPr>
          <w:rFonts w:ascii="Bookman Old Style" w:hAnsi="Bookman Old Style" w:cs="Verdana"/>
          <w:i/>
          <w:sz w:val="22"/>
          <w:szCs w:val="22"/>
        </w:rPr>
        <w:t>i</w:t>
      </w:r>
      <w:r w:rsidRPr="000D7422">
        <w:rPr>
          <w:rFonts w:ascii="Bookman Old Style" w:hAnsi="Bookman Old Style" w:cs="Verdana"/>
          <w:i/>
          <w:sz w:val="22"/>
          <w:szCs w:val="22"/>
        </w:rPr>
        <w:t xml:space="preserve"> </w:t>
      </w:r>
      <w:r w:rsidR="000C26DC" w:rsidRPr="000D7422">
        <w:rPr>
          <w:rFonts w:ascii="Bookman Old Style" w:hAnsi="Bookman Old Style" w:cs="Verdana"/>
          <w:i/>
          <w:sz w:val="22"/>
          <w:szCs w:val="22"/>
        </w:rPr>
        <w:t>document</w:t>
      </w:r>
      <w:r w:rsidR="00D21776">
        <w:rPr>
          <w:rFonts w:ascii="Bookman Old Style" w:hAnsi="Bookman Old Style" w:cs="Verdana"/>
          <w:i/>
          <w:sz w:val="22"/>
          <w:szCs w:val="22"/>
        </w:rPr>
        <w:t>i</w:t>
      </w:r>
      <w:r w:rsidR="000C26DC" w:rsidRPr="000D7422">
        <w:rPr>
          <w:rFonts w:ascii="Bookman Old Style" w:hAnsi="Bookman Old Style" w:cs="Verdana"/>
          <w:i/>
          <w:sz w:val="22"/>
          <w:szCs w:val="22"/>
        </w:rPr>
        <w:t xml:space="preserve"> a base </w:t>
      </w:r>
      <w:r w:rsidR="000C26DC" w:rsidRPr="006E7C93">
        <w:rPr>
          <w:rFonts w:ascii="Bookman Old Style" w:hAnsi="Bookman Old Style" w:cs="Verdana"/>
          <w:i/>
          <w:sz w:val="22"/>
          <w:szCs w:val="22"/>
        </w:rPr>
        <w:t>di gara, dei progett</w:t>
      </w:r>
      <w:r w:rsidR="00121B5A">
        <w:rPr>
          <w:rFonts w:ascii="Bookman Old Style" w:hAnsi="Bookman Old Style" w:cs="Verdana"/>
          <w:i/>
          <w:sz w:val="22"/>
          <w:szCs w:val="22"/>
        </w:rPr>
        <w:t>i</w:t>
      </w:r>
      <w:r w:rsidR="000C26DC" w:rsidRPr="006E7C93">
        <w:rPr>
          <w:rFonts w:ascii="Bookman Old Style" w:hAnsi="Bookman Old Style" w:cs="Verdana"/>
          <w:i/>
          <w:sz w:val="22"/>
          <w:szCs w:val="22"/>
        </w:rPr>
        <w:t>, dei tempi e costi  prestabiliti</w:t>
      </w:r>
      <w:r w:rsidR="000D7422" w:rsidRPr="006E7C93">
        <w:rPr>
          <w:rFonts w:ascii="Bookman Old Style" w:hAnsi="Bookman Old Style" w:cs="Verdana"/>
          <w:sz w:val="22"/>
          <w:szCs w:val="22"/>
        </w:rPr>
        <w:t>”</w:t>
      </w:r>
      <w:r w:rsidR="000C26DC" w:rsidRPr="006E7C93">
        <w:rPr>
          <w:rFonts w:ascii="Bookman Old Style" w:hAnsi="Bookman Old Style" w:cs="Verdana"/>
          <w:sz w:val="22"/>
          <w:szCs w:val="22"/>
        </w:rPr>
        <w:t>.</w:t>
      </w:r>
    </w:p>
    <w:p w14:paraId="5910C757" w14:textId="10810DB2" w:rsidR="001F47A6" w:rsidRPr="006E7C93" w:rsidRDefault="001F47A6" w:rsidP="001F47A6">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Le </w:t>
      </w:r>
      <w:r w:rsidR="000C26DC" w:rsidRPr="006E7C93">
        <w:rPr>
          <w:rFonts w:ascii="Bookman Old Style" w:hAnsi="Bookman Old Style" w:cs="Verdana"/>
          <w:sz w:val="22"/>
          <w:szCs w:val="22"/>
        </w:rPr>
        <w:t>disposizioni citate prevedono la possibilità di</w:t>
      </w:r>
      <w:r w:rsidR="00EC1092" w:rsidRPr="006E7C93">
        <w:rPr>
          <w:rFonts w:ascii="Bookman Old Style" w:hAnsi="Bookman Old Style" w:cs="Verdana"/>
          <w:sz w:val="22"/>
          <w:szCs w:val="22"/>
        </w:rPr>
        <w:t xml:space="preserve"> accantonamento delle risorse finanziarie da destinare al </w:t>
      </w:r>
      <w:r w:rsidRPr="006E7C93">
        <w:rPr>
          <w:rFonts w:ascii="Bookman Old Style" w:hAnsi="Bookman Old Style" w:cs="Verdana"/>
          <w:sz w:val="22"/>
          <w:szCs w:val="22"/>
        </w:rPr>
        <w:t>fondo per lo svolgimento di funzioni tecniche da parte di dip</w:t>
      </w:r>
      <w:r w:rsidR="00EC1092" w:rsidRPr="006E7C93">
        <w:rPr>
          <w:rFonts w:ascii="Bookman Old Style" w:hAnsi="Bookman Old Style" w:cs="Verdana"/>
          <w:sz w:val="22"/>
          <w:szCs w:val="22"/>
        </w:rPr>
        <w:t>endenti pubblici nell'</w:t>
      </w:r>
      <w:r w:rsidR="00217C8F" w:rsidRPr="006E7C93">
        <w:rPr>
          <w:rFonts w:ascii="Bookman Old Style" w:hAnsi="Bookman Old Style" w:cs="Verdana"/>
          <w:sz w:val="22"/>
          <w:szCs w:val="22"/>
        </w:rPr>
        <w:t>ambito</w:t>
      </w:r>
      <w:r w:rsidR="00EC1092" w:rsidRPr="006E7C93">
        <w:rPr>
          <w:rFonts w:ascii="Bookman Old Style" w:hAnsi="Bookman Old Style" w:cs="Verdana"/>
          <w:sz w:val="22"/>
          <w:szCs w:val="22"/>
        </w:rPr>
        <w:t xml:space="preserve"> di opere/lavori</w:t>
      </w:r>
      <w:r w:rsidR="006A2C9E" w:rsidRPr="006E7C93">
        <w:rPr>
          <w:rFonts w:ascii="Bookman Old Style" w:hAnsi="Bookman Old Style" w:cs="Verdana"/>
          <w:sz w:val="22"/>
          <w:szCs w:val="22"/>
        </w:rPr>
        <w:t>, servizi e forniture. C</w:t>
      </w:r>
      <w:r w:rsidRPr="006E7C93">
        <w:rPr>
          <w:rFonts w:ascii="Bookman Old Style" w:hAnsi="Bookman Old Style" w:cs="Verdana"/>
          <w:sz w:val="22"/>
          <w:szCs w:val="22"/>
        </w:rPr>
        <w:t xml:space="preserve">ondizione </w:t>
      </w:r>
      <w:r w:rsidR="00EC1092" w:rsidRPr="006E7C93">
        <w:rPr>
          <w:rFonts w:ascii="Bookman Old Style" w:hAnsi="Bookman Old Style" w:cs="Verdana"/>
          <w:sz w:val="22"/>
          <w:szCs w:val="22"/>
        </w:rPr>
        <w:t>essenziale</w:t>
      </w:r>
      <w:r w:rsidRPr="006E7C93">
        <w:rPr>
          <w:rFonts w:ascii="Bookman Old Style" w:hAnsi="Bookman Old Style" w:cs="Verdana"/>
          <w:sz w:val="22"/>
          <w:szCs w:val="22"/>
        </w:rPr>
        <w:t xml:space="preserve"> a</w:t>
      </w:r>
      <w:r w:rsidR="00030C37">
        <w:rPr>
          <w:rFonts w:ascii="Bookman Old Style" w:hAnsi="Bookman Old Style" w:cs="Verdana"/>
          <w:sz w:val="22"/>
          <w:szCs w:val="22"/>
        </w:rPr>
        <w:t>i</w:t>
      </w:r>
      <w:r w:rsidRPr="006E7C93">
        <w:rPr>
          <w:rFonts w:ascii="Bookman Old Style" w:hAnsi="Bookman Old Style" w:cs="Verdana"/>
          <w:sz w:val="22"/>
          <w:szCs w:val="22"/>
        </w:rPr>
        <w:t xml:space="preserve"> fini del riparto</w:t>
      </w:r>
      <w:r w:rsidR="00EC1092" w:rsidRPr="006E7C93">
        <w:rPr>
          <w:rFonts w:ascii="Bookman Old Style" w:hAnsi="Bookman Old Style" w:cs="Verdana"/>
          <w:sz w:val="22"/>
          <w:szCs w:val="22"/>
        </w:rPr>
        <w:t xml:space="preserve"> tra</w:t>
      </w:r>
      <w:r w:rsidRPr="006E7C93">
        <w:rPr>
          <w:rFonts w:ascii="Bookman Old Style" w:hAnsi="Bookman Old Style" w:cs="Verdana"/>
          <w:i/>
          <w:sz w:val="22"/>
          <w:szCs w:val="22"/>
        </w:rPr>
        <w:t xml:space="preserve"> </w:t>
      </w:r>
      <w:r w:rsidR="00EC1092" w:rsidRPr="006E7C93">
        <w:rPr>
          <w:rFonts w:ascii="Bookman Old Style" w:hAnsi="Bookman Old Style" w:cs="Verdana"/>
          <w:sz w:val="22"/>
          <w:szCs w:val="22"/>
        </w:rPr>
        <w:t>gli</w:t>
      </w:r>
      <w:r w:rsidRPr="006E7C93">
        <w:rPr>
          <w:rFonts w:ascii="Bookman Old Style" w:hAnsi="Bookman Old Style" w:cs="Verdana"/>
          <w:sz w:val="22"/>
          <w:szCs w:val="22"/>
        </w:rPr>
        <w:t xml:space="preserve"> aventi </w:t>
      </w:r>
      <w:r w:rsidR="00EC1092" w:rsidRPr="006E7C93">
        <w:rPr>
          <w:rFonts w:ascii="Bookman Old Style" w:hAnsi="Bookman Old Style" w:cs="Verdana"/>
          <w:sz w:val="22"/>
          <w:szCs w:val="22"/>
        </w:rPr>
        <w:t>diritto alle</w:t>
      </w:r>
      <w:r w:rsidRPr="006E7C93">
        <w:rPr>
          <w:rFonts w:ascii="Bookman Old Style" w:hAnsi="Bookman Old Style" w:cs="Verdana"/>
          <w:sz w:val="22"/>
          <w:szCs w:val="22"/>
        </w:rPr>
        <w:t xml:space="preserve"> r</w:t>
      </w:r>
      <w:r w:rsidR="00EC1092" w:rsidRPr="006E7C93">
        <w:rPr>
          <w:rFonts w:ascii="Bookman Old Style" w:hAnsi="Bookman Old Style" w:cs="Verdana"/>
          <w:sz w:val="22"/>
          <w:szCs w:val="22"/>
        </w:rPr>
        <w:t>isorse accantonate sul fondo è l</w:t>
      </w:r>
      <w:r w:rsidRPr="006E7C93">
        <w:rPr>
          <w:rFonts w:ascii="Bookman Old Style" w:hAnsi="Bookman Old Style" w:cs="Verdana"/>
          <w:sz w:val="22"/>
          <w:szCs w:val="22"/>
        </w:rPr>
        <w:t>'adozione di</w:t>
      </w:r>
      <w:r w:rsidR="00EC1092" w:rsidRPr="006E7C93">
        <w:rPr>
          <w:rFonts w:ascii="Bookman Old Style" w:hAnsi="Bookman Old Style" w:cs="Verdana"/>
          <w:sz w:val="22"/>
          <w:szCs w:val="22"/>
        </w:rPr>
        <w:t xml:space="preserve"> apposito regolamento da</w:t>
      </w:r>
      <w:r w:rsidRPr="006E7C93">
        <w:rPr>
          <w:rFonts w:ascii="Bookman Old Style" w:hAnsi="Bookman Old Style" w:cs="Verdana"/>
          <w:sz w:val="22"/>
          <w:szCs w:val="22"/>
        </w:rPr>
        <w:t xml:space="preserve"> parte dell'ente.</w:t>
      </w:r>
    </w:p>
    <w:p w14:paraId="73BC2AD8" w14:textId="42BAB49B" w:rsidR="001F47A6" w:rsidRPr="006E7C93" w:rsidRDefault="00EC1092" w:rsidP="006A2C9E">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Da ciò </w:t>
      </w:r>
      <w:r w:rsidR="006A2C9E" w:rsidRPr="006E7C93">
        <w:rPr>
          <w:rFonts w:ascii="Bookman Old Style" w:hAnsi="Bookman Old Style" w:cs="Verdana"/>
          <w:sz w:val="22"/>
          <w:szCs w:val="22"/>
        </w:rPr>
        <w:t xml:space="preserve">sembra </w:t>
      </w:r>
      <w:r w:rsidRPr="006E7C93">
        <w:rPr>
          <w:rFonts w:ascii="Bookman Old Style" w:hAnsi="Bookman Old Style" w:cs="Verdana"/>
          <w:sz w:val="22"/>
          <w:szCs w:val="22"/>
        </w:rPr>
        <w:t>conseg</w:t>
      </w:r>
      <w:r w:rsidR="006A2C9E" w:rsidRPr="006E7C93">
        <w:rPr>
          <w:rFonts w:ascii="Bookman Old Style" w:hAnsi="Bookman Old Style" w:cs="Verdana"/>
          <w:sz w:val="22"/>
          <w:szCs w:val="22"/>
        </w:rPr>
        <w:t>uire che l</w:t>
      </w:r>
      <w:r w:rsidR="001F47A6" w:rsidRPr="006E7C93">
        <w:rPr>
          <w:rFonts w:ascii="Bookman Old Style" w:hAnsi="Bookman Old Style" w:cs="Verdana"/>
          <w:sz w:val="22"/>
          <w:szCs w:val="22"/>
        </w:rPr>
        <w:t xml:space="preserve">a nuova disciplina </w:t>
      </w:r>
      <w:r w:rsidR="006A2C9E" w:rsidRPr="006E7C93">
        <w:rPr>
          <w:rFonts w:ascii="Bookman Old Style" w:hAnsi="Bookman Old Style" w:cs="Verdana"/>
          <w:sz w:val="22"/>
          <w:szCs w:val="22"/>
        </w:rPr>
        <w:t>degli incentivi esclud</w:t>
      </w:r>
      <w:r w:rsidR="00030C37">
        <w:rPr>
          <w:rFonts w:ascii="Bookman Old Style" w:hAnsi="Bookman Old Style" w:cs="Verdana"/>
          <w:sz w:val="22"/>
          <w:szCs w:val="22"/>
        </w:rPr>
        <w:t>a</w:t>
      </w:r>
      <w:r w:rsidR="006A2C9E" w:rsidRPr="006E7C93">
        <w:rPr>
          <w:rFonts w:ascii="Bookman Old Style" w:hAnsi="Bookman Old Style" w:cs="Verdana"/>
          <w:sz w:val="22"/>
          <w:szCs w:val="22"/>
        </w:rPr>
        <w:t xml:space="preserve"> i </w:t>
      </w:r>
      <w:r w:rsidR="001F47A6" w:rsidRPr="006E7C93">
        <w:rPr>
          <w:rFonts w:ascii="Bookman Old Style" w:hAnsi="Bookman Old Style" w:cs="Verdana"/>
          <w:sz w:val="22"/>
          <w:szCs w:val="22"/>
        </w:rPr>
        <w:t xml:space="preserve">progettisti </w:t>
      </w:r>
      <w:r w:rsidR="006A2C9E" w:rsidRPr="006E7C93">
        <w:rPr>
          <w:rFonts w:ascii="Bookman Old Style" w:hAnsi="Bookman Old Style" w:cs="Verdana"/>
          <w:sz w:val="22"/>
          <w:szCs w:val="22"/>
        </w:rPr>
        <w:t xml:space="preserve">per indirizzarsi verso </w:t>
      </w:r>
      <w:r w:rsidR="00030C37">
        <w:rPr>
          <w:rFonts w:ascii="Bookman Old Style" w:hAnsi="Bookman Old Style" w:cs="Verdana"/>
          <w:sz w:val="22"/>
          <w:szCs w:val="22"/>
        </w:rPr>
        <w:t xml:space="preserve">le </w:t>
      </w:r>
      <w:r w:rsidR="001F47A6" w:rsidRPr="006E7C93">
        <w:rPr>
          <w:rFonts w:ascii="Bookman Old Style" w:hAnsi="Bookman Old Style" w:cs="Verdana"/>
          <w:sz w:val="22"/>
          <w:szCs w:val="22"/>
        </w:rPr>
        <w:t>attività tecnico-burocratiche (</w:t>
      </w:r>
      <w:r w:rsidR="006A2C9E" w:rsidRPr="006E7C93">
        <w:rPr>
          <w:rFonts w:ascii="Bookman Old Style" w:hAnsi="Bookman Old Style" w:cs="Verdana"/>
          <w:sz w:val="22"/>
          <w:szCs w:val="22"/>
        </w:rPr>
        <w:t>programmazione</w:t>
      </w:r>
      <w:r w:rsidR="001F47A6" w:rsidRPr="006E7C93">
        <w:rPr>
          <w:rFonts w:ascii="Bookman Old Style" w:hAnsi="Bookman Old Style" w:cs="Verdana"/>
          <w:sz w:val="22"/>
          <w:szCs w:val="22"/>
        </w:rPr>
        <w:t xml:space="preserve">, </w:t>
      </w:r>
      <w:r w:rsidR="006A2C9E" w:rsidRPr="006E7C93">
        <w:rPr>
          <w:rFonts w:ascii="Bookman Old Style" w:hAnsi="Bookman Old Style" w:cs="Verdana"/>
          <w:sz w:val="22"/>
          <w:szCs w:val="22"/>
        </w:rPr>
        <w:t>procedure</w:t>
      </w:r>
      <w:r w:rsidR="001F47A6" w:rsidRPr="006E7C93">
        <w:rPr>
          <w:rFonts w:ascii="Bookman Old Style" w:hAnsi="Bookman Old Style" w:cs="Verdana"/>
          <w:sz w:val="22"/>
          <w:szCs w:val="22"/>
        </w:rPr>
        <w:t xml:space="preserve"> di gara, esecuzione dei contratti, </w:t>
      </w:r>
      <w:r w:rsidR="006A2C9E" w:rsidRPr="006E7C93">
        <w:rPr>
          <w:rFonts w:ascii="Bookman Old Style" w:hAnsi="Bookman Old Style" w:cs="Verdana"/>
          <w:sz w:val="22"/>
          <w:szCs w:val="22"/>
        </w:rPr>
        <w:t xml:space="preserve">verifica di conformità, ecc.), estendendo anche </w:t>
      </w:r>
      <w:r w:rsidR="001F47A6" w:rsidRPr="006E7C93">
        <w:rPr>
          <w:rFonts w:ascii="Bookman Old Style" w:hAnsi="Bookman Old Style" w:cs="Verdana"/>
          <w:sz w:val="22"/>
          <w:szCs w:val="22"/>
        </w:rPr>
        <w:t xml:space="preserve">agli appalti di forniture </w:t>
      </w:r>
      <w:r w:rsidR="006A2C9E" w:rsidRPr="006E7C93">
        <w:rPr>
          <w:rFonts w:ascii="Bookman Old Style" w:hAnsi="Bookman Old Style" w:cs="Verdana"/>
          <w:sz w:val="22"/>
          <w:szCs w:val="22"/>
        </w:rPr>
        <w:t>e di</w:t>
      </w:r>
      <w:r w:rsidR="001F47A6" w:rsidRPr="006E7C93">
        <w:rPr>
          <w:rFonts w:ascii="Bookman Old Style" w:hAnsi="Bookman Old Style" w:cs="Verdana"/>
          <w:sz w:val="22"/>
          <w:szCs w:val="22"/>
        </w:rPr>
        <w:t xml:space="preserve"> servizi </w:t>
      </w:r>
      <w:r w:rsidR="00217C8F" w:rsidRPr="006E7C93">
        <w:rPr>
          <w:rFonts w:ascii="Bookman Old Style" w:hAnsi="Bookman Old Style" w:cs="Verdana"/>
          <w:sz w:val="22"/>
          <w:szCs w:val="22"/>
        </w:rPr>
        <w:t xml:space="preserve">la </w:t>
      </w:r>
      <w:r w:rsidR="006A2C9E" w:rsidRPr="006E7C93">
        <w:rPr>
          <w:rFonts w:ascii="Bookman Old Style" w:hAnsi="Bookman Old Style" w:cs="Verdana"/>
          <w:sz w:val="22"/>
          <w:szCs w:val="22"/>
        </w:rPr>
        <w:t>possibilità di partecipare alla ripartiz</w:t>
      </w:r>
      <w:r w:rsidR="001F47A6" w:rsidRPr="006E7C93">
        <w:rPr>
          <w:rFonts w:ascii="Bookman Old Style" w:hAnsi="Bookman Old Style" w:cs="Verdana"/>
          <w:sz w:val="22"/>
          <w:szCs w:val="22"/>
        </w:rPr>
        <w:t xml:space="preserve">ione degli incentivi per </w:t>
      </w:r>
      <w:r w:rsidR="006A2C9E" w:rsidRPr="006E7C93">
        <w:rPr>
          <w:rFonts w:ascii="Bookman Old Style" w:hAnsi="Bookman Old Style" w:cs="Verdana"/>
          <w:sz w:val="22"/>
          <w:szCs w:val="22"/>
        </w:rPr>
        <w:t>funzioni tecniche.</w:t>
      </w:r>
    </w:p>
    <w:p w14:paraId="14C4A34C" w14:textId="28657FE1" w:rsidR="001F47A6" w:rsidRPr="006E7C93" w:rsidRDefault="001F47A6" w:rsidP="001F47A6">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Sulla base </w:t>
      </w:r>
      <w:r w:rsidR="005F3AB7" w:rsidRPr="006E7C93">
        <w:rPr>
          <w:rFonts w:ascii="Bookman Old Style" w:hAnsi="Bookman Old Style" w:cs="Verdana"/>
          <w:sz w:val="22"/>
          <w:szCs w:val="22"/>
        </w:rPr>
        <w:t xml:space="preserve">delle </w:t>
      </w:r>
      <w:r w:rsidR="006A2C9E" w:rsidRPr="006E7C93">
        <w:rPr>
          <w:rFonts w:ascii="Bookman Old Style" w:hAnsi="Bookman Old Style" w:cs="Verdana"/>
          <w:sz w:val="22"/>
          <w:szCs w:val="22"/>
        </w:rPr>
        <w:t>norme e pronunce intervenute</w:t>
      </w:r>
      <w:r w:rsidR="005F3AB7" w:rsidRPr="006E7C93">
        <w:rPr>
          <w:rFonts w:ascii="Bookman Old Style" w:hAnsi="Bookman Old Style" w:cs="Verdana"/>
          <w:sz w:val="22"/>
          <w:szCs w:val="22"/>
        </w:rPr>
        <w:t>,</w:t>
      </w:r>
      <w:r w:rsidR="006A2C9E" w:rsidRPr="006E7C93">
        <w:rPr>
          <w:rFonts w:ascii="Bookman Old Style" w:hAnsi="Bookman Old Style" w:cs="Verdana"/>
          <w:sz w:val="22"/>
          <w:szCs w:val="22"/>
        </w:rPr>
        <w:t xml:space="preserve"> il </w:t>
      </w:r>
      <w:r w:rsidRPr="006E7C93">
        <w:rPr>
          <w:rFonts w:ascii="Bookman Old Style" w:hAnsi="Bookman Old Style" w:cs="Verdana"/>
          <w:sz w:val="22"/>
          <w:szCs w:val="22"/>
        </w:rPr>
        <w:t xml:space="preserve">Comune di </w:t>
      </w:r>
      <w:r w:rsidR="006A2C9E" w:rsidRPr="006E7C93">
        <w:rPr>
          <w:rFonts w:ascii="Bookman Old Style" w:hAnsi="Bookman Old Style" w:cs="Verdana"/>
          <w:sz w:val="22"/>
          <w:szCs w:val="22"/>
        </w:rPr>
        <w:t>Ceriale i</w:t>
      </w:r>
      <w:r w:rsidRPr="006E7C93">
        <w:rPr>
          <w:rFonts w:ascii="Bookman Old Style" w:hAnsi="Bookman Old Style" w:cs="Verdana"/>
          <w:sz w:val="22"/>
          <w:szCs w:val="22"/>
        </w:rPr>
        <w:t xml:space="preserve">ntende approvare </w:t>
      </w:r>
      <w:r w:rsidR="006A2C9E" w:rsidRPr="006E7C93">
        <w:rPr>
          <w:rFonts w:ascii="Bookman Old Style" w:hAnsi="Bookman Old Style" w:cs="Verdana"/>
          <w:sz w:val="22"/>
          <w:szCs w:val="22"/>
        </w:rPr>
        <w:t>il</w:t>
      </w:r>
      <w:r w:rsidRPr="006E7C93">
        <w:rPr>
          <w:rFonts w:ascii="Bookman Old Style" w:hAnsi="Bookman Old Style" w:cs="Verdana"/>
          <w:sz w:val="22"/>
          <w:szCs w:val="22"/>
        </w:rPr>
        <w:t xml:space="preserve"> regolamento </w:t>
      </w:r>
      <w:r w:rsidR="005F3AB7" w:rsidRPr="006E7C93">
        <w:rPr>
          <w:rFonts w:ascii="Bookman Old Style" w:hAnsi="Bookman Old Style" w:cs="Verdana"/>
          <w:sz w:val="22"/>
          <w:szCs w:val="22"/>
        </w:rPr>
        <w:t xml:space="preserve">degli </w:t>
      </w:r>
      <w:r w:rsidRPr="006E7C93">
        <w:rPr>
          <w:rFonts w:ascii="Bookman Old Style" w:hAnsi="Bookman Old Style" w:cs="Verdana"/>
          <w:sz w:val="22"/>
          <w:szCs w:val="22"/>
        </w:rPr>
        <w:t xml:space="preserve">incentivi per le funzioni tecniche di cui all'art. </w:t>
      </w:r>
      <w:r w:rsidR="00030C37">
        <w:rPr>
          <w:rFonts w:ascii="Bookman Old Style" w:hAnsi="Bookman Old Style" w:cs="Verdana"/>
          <w:sz w:val="22"/>
          <w:szCs w:val="22"/>
        </w:rPr>
        <w:t xml:space="preserve">113 </w:t>
      </w:r>
      <w:r w:rsidR="006A2C9E" w:rsidRPr="006E7C93">
        <w:rPr>
          <w:rFonts w:ascii="Bookman Old Style" w:hAnsi="Bookman Old Style" w:cs="Verdana"/>
          <w:sz w:val="22"/>
          <w:szCs w:val="22"/>
        </w:rPr>
        <w:t xml:space="preserve">del </w:t>
      </w:r>
      <w:r w:rsidR="00C7710A">
        <w:rPr>
          <w:rFonts w:ascii="Bookman Old Style" w:hAnsi="Bookman Old Style" w:cs="Verdana"/>
          <w:sz w:val="22"/>
          <w:szCs w:val="22"/>
        </w:rPr>
        <w:t>d</w:t>
      </w:r>
      <w:r w:rsidR="006A2C9E" w:rsidRPr="006E7C93">
        <w:rPr>
          <w:rFonts w:ascii="Bookman Old Style" w:hAnsi="Bookman Old Style" w:cs="Verdana"/>
          <w:sz w:val="22"/>
          <w:szCs w:val="22"/>
        </w:rPr>
        <w:t>.lgs</w:t>
      </w:r>
      <w:r w:rsidR="00C0170A">
        <w:rPr>
          <w:rFonts w:ascii="Bookman Old Style" w:hAnsi="Bookman Old Style" w:cs="Verdana"/>
          <w:sz w:val="22"/>
          <w:szCs w:val="22"/>
        </w:rPr>
        <w:t>.</w:t>
      </w:r>
      <w:r w:rsidR="006A2C9E" w:rsidRPr="006E7C93">
        <w:rPr>
          <w:rFonts w:ascii="Bookman Old Style" w:hAnsi="Bookman Old Style" w:cs="Verdana"/>
          <w:sz w:val="22"/>
          <w:szCs w:val="22"/>
        </w:rPr>
        <w:t xml:space="preserve"> 18 aprile 2016 n.</w:t>
      </w:r>
      <w:r w:rsidRPr="006E7C93">
        <w:rPr>
          <w:rFonts w:ascii="Bookman Old Style" w:hAnsi="Bookman Old Style" w:cs="Verdana"/>
          <w:sz w:val="22"/>
          <w:szCs w:val="22"/>
        </w:rPr>
        <w:t xml:space="preserve"> 50</w:t>
      </w:r>
      <w:r w:rsidR="006A2C9E" w:rsidRPr="006E7C93">
        <w:rPr>
          <w:rFonts w:ascii="Bookman Old Style" w:hAnsi="Bookman Old Style" w:cs="Verdana"/>
          <w:sz w:val="22"/>
          <w:szCs w:val="22"/>
        </w:rPr>
        <w:t>,</w:t>
      </w:r>
      <w:r w:rsidRPr="006E7C93">
        <w:rPr>
          <w:rFonts w:ascii="Bookman Old Style" w:hAnsi="Bookman Old Style" w:cs="Verdana"/>
          <w:sz w:val="22"/>
          <w:szCs w:val="22"/>
        </w:rPr>
        <w:t xml:space="preserve"> stabilendo che non concorrano ad alimentare il </w:t>
      </w:r>
      <w:r w:rsidR="006A2C9E" w:rsidRPr="006E7C93">
        <w:rPr>
          <w:rFonts w:ascii="Bookman Old Style" w:hAnsi="Bookman Old Style" w:cs="Verdana"/>
          <w:sz w:val="22"/>
          <w:szCs w:val="22"/>
        </w:rPr>
        <w:t>fondo</w:t>
      </w:r>
      <w:r w:rsidRPr="006E7C93">
        <w:rPr>
          <w:rFonts w:ascii="Bookman Old Style" w:hAnsi="Bookman Old Style" w:cs="Verdana"/>
          <w:sz w:val="22"/>
          <w:szCs w:val="22"/>
        </w:rPr>
        <w:t xml:space="preserve"> </w:t>
      </w:r>
      <w:r w:rsidR="006A2C9E" w:rsidRPr="006E7C93">
        <w:rPr>
          <w:rFonts w:ascii="Bookman Old Style" w:hAnsi="Bookman Old Style" w:cs="Verdana"/>
          <w:sz w:val="22"/>
          <w:szCs w:val="22"/>
        </w:rPr>
        <w:t>tutti i lavori, servizi o forniture di importo</w:t>
      </w:r>
      <w:r w:rsidRPr="006E7C93">
        <w:rPr>
          <w:rFonts w:ascii="Bookman Old Style" w:hAnsi="Bookman Old Style" w:cs="Verdana"/>
          <w:sz w:val="22"/>
          <w:szCs w:val="22"/>
        </w:rPr>
        <w:t xml:space="preserve"> inferiore</w:t>
      </w:r>
      <w:r w:rsidR="006A2C9E" w:rsidRPr="006E7C93">
        <w:rPr>
          <w:rFonts w:ascii="Bookman Old Style" w:hAnsi="Bookman Old Style" w:cs="Verdana"/>
          <w:sz w:val="22"/>
          <w:szCs w:val="22"/>
        </w:rPr>
        <w:t xml:space="preserve"> </w:t>
      </w:r>
      <w:r w:rsidRPr="006E7C93">
        <w:rPr>
          <w:rFonts w:ascii="Bookman Old Style" w:hAnsi="Bookman Old Style" w:cs="Verdana"/>
          <w:sz w:val="22"/>
          <w:szCs w:val="22"/>
        </w:rPr>
        <w:t xml:space="preserve">ad </w:t>
      </w:r>
      <w:r w:rsidR="006A2C9E" w:rsidRPr="006E7C93">
        <w:rPr>
          <w:rFonts w:ascii="Bookman Old Style" w:hAnsi="Bookman Old Style" w:cs="Verdana"/>
          <w:sz w:val="22"/>
          <w:szCs w:val="22"/>
        </w:rPr>
        <w:t>euro 5</w:t>
      </w:r>
      <w:r w:rsidR="005F3AB7" w:rsidRPr="006E7C93">
        <w:rPr>
          <w:rFonts w:ascii="Bookman Old Style" w:hAnsi="Bookman Old Style" w:cs="Verdana"/>
          <w:sz w:val="22"/>
          <w:szCs w:val="22"/>
        </w:rPr>
        <w:t>.</w:t>
      </w:r>
      <w:r w:rsidR="006A2C9E" w:rsidRPr="006E7C93">
        <w:rPr>
          <w:rFonts w:ascii="Bookman Old Style" w:hAnsi="Bookman Old Style" w:cs="Verdana"/>
          <w:sz w:val="22"/>
          <w:szCs w:val="22"/>
        </w:rPr>
        <w:t>000,00.</w:t>
      </w:r>
    </w:p>
    <w:p w14:paraId="56B953C7" w14:textId="51C1405F" w:rsidR="001F47A6" w:rsidRPr="006E7C93" w:rsidRDefault="00DE62BB" w:rsidP="001F47A6">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Il Sindaco chiede di sapere se</w:t>
      </w:r>
      <w:r w:rsidR="001F47A6" w:rsidRPr="006E7C93">
        <w:rPr>
          <w:rFonts w:ascii="Bookman Old Style" w:hAnsi="Bookman Old Style" w:cs="Verdana"/>
          <w:sz w:val="22"/>
          <w:szCs w:val="22"/>
        </w:rPr>
        <w:t xml:space="preserve"> i compensi per le funzioni tecniche previsti nel nuovo codice degli </w:t>
      </w:r>
      <w:r w:rsidRPr="006E7C93">
        <w:rPr>
          <w:rFonts w:ascii="Bookman Old Style" w:hAnsi="Bookman Old Style" w:cs="Verdana"/>
          <w:sz w:val="22"/>
          <w:szCs w:val="22"/>
        </w:rPr>
        <w:t>appalti</w:t>
      </w:r>
      <w:r w:rsidR="000E3800" w:rsidRPr="006E7C93">
        <w:rPr>
          <w:rFonts w:ascii="Bookman Old Style" w:hAnsi="Bookman Old Style" w:cs="Verdana"/>
          <w:sz w:val="22"/>
          <w:szCs w:val="22"/>
        </w:rPr>
        <w:t xml:space="preserve">, apparentemente differenti dagli incentivi alla progettazione (previsti dalla legge 109 del 1994 prima e dal </w:t>
      </w:r>
      <w:r w:rsidR="00C7710A">
        <w:rPr>
          <w:rFonts w:ascii="Bookman Old Style" w:hAnsi="Bookman Old Style" w:cs="Verdana"/>
          <w:sz w:val="22"/>
          <w:szCs w:val="22"/>
        </w:rPr>
        <w:t>d</w:t>
      </w:r>
      <w:r w:rsidR="000E3800" w:rsidRPr="006E7C93">
        <w:rPr>
          <w:rFonts w:ascii="Bookman Old Style" w:hAnsi="Bookman Old Style" w:cs="Verdana"/>
          <w:sz w:val="22"/>
          <w:szCs w:val="22"/>
        </w:rPr>
        <w:t xml:space="preserve">.lgs. 163 del 2006 </w:t>
      </w:r>
      <w:r w:rsidR="00030C37">
        <w:rPr>
          <w:rFonts w:ascii="Bookman Old Style" w:hAnsi="Bookman Old Style" w:cs="Verdana"/>
          <w:sz w:val="22"/>
          <w:szCs w:val="22"/>
        </w:rPr>
        <w:t>poi</w:t>
      </w:r>
      <w:r w:rsidR="000E3800" w:rsidRPr="006E7C93">
        <w:rPr>
          <w:rFonts w:ascii="Bookman Old Style" w:hAnsi="Bookman Old Style" w:cs="Verdana"/>
          <w:sz w:val="22"/>
          <w:szCs w:val="22"/>
        </w:rPr>
        <w:t xml:space="preserve">) </w:t>
      </w:r>
      <w:r w:rsidR="001F47A6" w:rsidRPr="006E7C93">
        <w:rPr>
          <w:rFonts w:ascii="Bookman Old Style" w:hAnsi="Bookman Old Style" w:cs="Verdana"/>
          <w:sz w:val="22"/>
          <w:szCs w:val="22"/>
        </w:rPr>
        <w:t xml:space="preserve"> s</w:t>
      </w:r>
      <w:r w:rsidRPr="006E7C93">
        <w:rPr>
          <w:rFonts w:ascii="Bookman Old Style" w:hAnsi="Bookman Old Style" w:cs="Verdana"/>
          <w:sz w:val="22"/>
          <w:szCs w:val="22"/>
        </w:rPr>
        <w:t>fuggano</w:t>
      </w:r>
      <w:r w:rsidR="000E3800" w:rsidRPr="006E7C93">
        <w:rPr>
          <w:rFonts w:ascii="Bookman Old Style" w:hAnsi="Bookman Old Style" w:cs="Verdana"/>
          <w:sz w:val="22"/>
          <w:szCs w:val="22"/>
        </w:rPr>
        <w:t>, come questi ultimi,</w:t>
      </w:r>
      <w:r w:rsidRPr="006E7C93">
        <w:rPr>
          <w:rFonts w:ascii="Bookman Old Style" w:hAnsi="Bookman Old Style" w:cs="Verdana"/>
          <w:sz w:val="22"/>
          <w:szCs w:val="22"/>
        </w:rPr>
        <w:t xml:space="preserve"> al limite della</w:t>
      </w:r>
      <w:r w:rsidR="001F47A6" w:rsidRPr="006E7C93">
        <w:rPr>
          <w:rFonts w:ascii="Bookman Old Style" w:hAnsi="Bookman Old Style" w:cs="Verdana"/>
          <w:sz w:val="22"/>
          <w:szCs w:val="22"/>
        </w:rPr>
        <w:t xml:space="preserve"> spesa di personale previsto </w:t>
      </w:r>
      <w:r w:rsidRPr="006E7C93">
        <w:rPr>
          <w:rFonts w:ascii="Bookman Old Style" w:hAnsi="Bookman Old Style" w:cs="Verdana"/>
          <w:sz w:val="22"/>
          <w:szCs w:val="22"/>
        </w:rPr>
        <w:t xml:space="preserve">dall’art. 1, </w:t>
      </w:r>
      <w:r w:rsidR="001F47A6" w:rsidRPr="006E7C93">
        <w:rPr>
          <w:rFonts w:ascii="Bookman Old Style" w:hAnsi="Bookman Old Style" w:cs="Verdana"/>
          <w:sz w:val="22"/>
          <w:szCs w:val="22"/>
        </w:rPr>
        <w:t>comma 557</w:t>
      </w:r>
      <w:r w:rsidRPr="006E7C93">
        <w:rPr>
          <w:rFonts w:ascii="Bookman Old Style" w:hAnsi="Bookman Old Style" w:cs="Verdana"/>
          <w:sz w:val="22"/>
          <w:szCs w:val="22"/>
        </w:rPr>
        <w:t xml:space="preserve">, </w:t>
      </w:r>
      <w:r w:rsidR="00030C37">
        <w:rPr>
          <w:rFonts w:ascii="Bookman Old Style" w:hAnsi="Bookman Old Style" w:cs="Verdana"/>
          <w:sz w:val="22"/>
          <w:szCs w:val="22"/>
        </w:rPr>
        <w:t xml:space="preserve">della </w:t>
      </w:r>
      <w:r w:rsidRPr="006E7C93">
        <w:rPr>
          <w:rFonts w:ascii="Bookman Old Style" w:hAnsi="Bookman Old Style" w:cs="Verdana"/>
          <w:sz w:val="22"/>
          <w:szCs w:val="22"/>
        </w:rPr>
        <w:t xml:space="preserve">legge 296 del 2006 (riduzione della spesa del personale rispetto a quella sostenuta nella media del triennio 2011-2013) </w:t>
      </w:r>
      <w:r w:rsidR="000E3800" w:rsidRPr="006E7C93">
        <w:rPr>
          <w:rFonts w:ascii="Bookman Old Style" w:hAnsi="Bookman Old Style" w:cs="Verdana"/>
          <w:sz w:val="22"/>
          <w:szCs w:val="22"/>
        </w:rPr>
        <w:t xml:space="preserve">come stabilito dalla Sezione </w:t>
      </w:r>
      <w:r w:rsidR="008B02BD">
        <w:rPr>
          <w:rFonts w:ascii="Bookman Old Style" w:hAnsi="Bookman Old Style" w:cs="Verdana"/>
          <w:sz w:val="22"/>
          <w:szCs w:val="22"/>
        </w:rPr>
        <w:t>delle</w:t>
      </w:r>
      <w:r w:rsidR="000E3800" w:rsidRPr="006E7C93">
        <w:rPr>
          <w:rFonts w:ascii="Bookman Old Style" w:hAnsi="Bookman Old Style" w:cs="Verdana"/>
          <w:sz w:val="22"/>
          <w:szCs w:val="22"/>
        </w:rPr>
        <w:t xml:space="preserve"> Autonomie con deliberazione n. </w:t>
      </w:r>
      <w:r w:rsidR="000E3800" w:rsidRPr="006E7C93">
        <w:rPr>
          <w:rFonts w:ascii="Bookman Old Style" w:hAnsi="Bookman Old Style" w:cs="Verdana"/>
          <w:sz w:val="22"/>
          <w:szCs w:val="22"/>
        </w:rPr>
        <w:lastRenderedPageBreak/>
        <w:t>16/SEZAUT/2009/QMIG (che, ai fini del computo delle voci di spesa da ridurre a norma d</w:t>
      </w:r>
      <w:r w:rsidR="007131A8">
        <w:rPr>
          <w:rFonts w:ascii="Bookman Old Style" w:hAnsi="Bookman Old Style" w:cs="Verdana"/>
          <w:sz w:val="22"/>
          <w:szCs w:val="22"/>
        </w:rPr>
        <w:t xml:space="preserve">ell’art. 1, commi 557 e 562, della legge </w:t>
      </w:r>
      <w:r w:rsidR="000E3800" w:rsidRPr="006E7C93">
        <w:rPr>
          <w:rFonts w:ascii="Bookman Old Style" w:hAnsi="Bookman Old Style" w:cs="Verdana"/>
          <w:sz w:val="22"/>
          <w:szCs w:val="22"/>
        </w:rPr>
        <w:t>27 dicembre 2006, n. 296, aveva escluso gli incentivi per la progettazione interna di cui al previgente codice degli appalti a motivo della loro riconosciuta natura “di spese di investimento</w:t>
      </w:r>
      <w:r w:rsidR="00FC6872" w:rsidRPr="006E7C93">
        <w:rPr>
          <w:rFonts w:ascii="Bookman Old Style" w:hAnsi="Bookman Old Style" w:cs="Verdana"/>
          <w:sz w:val="22"/>
          <w:szCs w:val="22"/>
        </w:rPr>
        <w:t>”</w:t>
      </w:r>
      <w:r w:rsidR="000E3800" w:rsidRPr="006E7C93">
        <w:rPr>
          <w:rFonts w:ascii="Bookman Old Style" w:hAnsi="Bookman Old Style" w:cs="Verdana"/>
          <w:sz w:val="22"/>
          <w:szCs w:val="22"/>
        </w:rPr>
        <w:t xml:space="preserve">, attinenti alla gestione in conto capitale, iscritte nel titolo II della spesa, e finanziate nell’ambito dei fondi stanziati per la realizzazione di un’opera pubblica, e non di spese di funzionamento). </w:t>
      </w:r>
    </w:p>
    <w:p w14:paraId="1ECFE9D6" w14:textId="0F1C01B8" w:rsidR="001F47A6" w:rsidRPr="006E7C93" w:rsidRDefault="000E3800" w:rsidP="001F47A6">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Inoltre, qualora la risposta al ques</w:t>
      </w:r>
      <w:r w:rsidR="001170A6">
        <w:rPr>
          <w:rFonts w:ascii="Bookman Old Style" w:hAnsi="Bookman Old Style" w:cs="Verdana"/>
          <w:sz w:val="22"/>
          <w:szCs w:val="22"/>
        </w:rPr>
        <w:t>ito dovesse essere negativa, l’e</w:t>
      </w:r>
      <w:r w:rsidRPr="006E7C93">
        <w:rPr>
          <w:rFonts w:ascii="Bookman Old Style" w:hAnsi="Bookman Old Style" w:cs="Verdana"/>
          <w:sz w:val="22"/>
          <w:szCs w:val="22"/>
        </w:rPr>
        <w:t>nte chiede di sapere</w:t>
      </w:r>
      <w:r w:rsidR="00B05011" w:rsidRPr="006E7C93">
        <w:rPr>
          <w:rFonts w:ascii="Bookman Old Style" w:hAnsi="Bookman Old Style" w:cs="Verdana"/>
          <w:sz w:val="22"/>
          <w:szCs w:val="22"/>
        </w:rPr>
        <w:t xml:space="preserve"> se i predetti incentivi s</w:t>
      </w:r>
      <w:r w:rsidR="007131A8">
        <w:rPr>
          <w:rFonts w:ascii="Bookman Old Style" w:hAnsi="Bookman Old Style" w:cs="Verdana"/>
          <w:sz w:val="22"/>
          <w:szCs w:val="22"/>
        </w:rPr>
        <w:t>ia</w:t>
      </w:r>
      <w:r w:rsidR="00B05011" w:rsidRPr="006E7C93">
        <w:rPr>
          <w:rFonts w:ascii="Bookman Old Style" w:hAnsi="Bookman Old Style" w:cs="Verdana"/>
          <w:sz w:val="22"/>
          <w:szCs w:val="22"/>
        </w:rPr>
        <w:t xml:space="preserve">no </w:t>
      </w:r>
      <w:r w:rsidR="007131A8">
        <w:rPr>
          <w:rFonts w:ascii="Bookman Old Style" w:hAnsi="Bookman Old Style" w:cs="Verdana"/>
          <w:sz w:val="22"/>
          <w:szCs w:val="22"/>
        </w:rPr>
        <w:t xml:space="preserve">o meno </w:t>
      </w:r>
      <w:r w:rsidR="00B05011" w:rsidRPr="006E7C93">
        <w:rPr>
          <w:rFonts w:ascii="Bookman Old Style" w:hAnsi="Bookman Old Style" w:cs="Verdana"/>
          <w:sz w:val="22"/>
          <w:szCs w:val="22"/>
        </w:rPr>
        <w:t>esclusi</w:t>
      </w:r>
      <w:r w:rsidR="001F47A6" w:rsidRPr="006E7C93">
        <w:rPr>
          <w:rFonts w:ascii="Bookman Old Style" w:hAnsi="Bookman Old Style" w:cs="Verdana"/>
          <w:sz w:val="22"/>
          <w:szCs w:val="22"/>
        </w:rPr>
        <w:t xml:space="preserve"> dal computo </w:t>
      </w:r>
      <w:r w:rsidR="00B05011" w:rsidRPr="006E7C93">
        <w:rPr>
          <w:rFonts w:ascii="Bookman Old Style" w:hAnsi="Bookman Old Style" w:cs="Verdana"/>
          <w:sz w:val="22"/>
          <w:szCs w:val="22"/>
        </w:rPr>
        <w:t>dei</w:t>
      </w:r>
      <w:r w:rsidR="001F47A6" w:rsidRPr="006E7C93">
        <w:rPr>
          <w:rFonts w:ascii="Bookman Old Style" w:hAnsi="Bookman Old Style" w:cs="Verdana"/>
          <w:sz w:val="22"/>
          <w:szCs w:val="22"/>
        </w:rPr>
        <w:t xml:space="preserve"> limiti del trattamento accessorio disciplinato dall'art. </w:t>
      </w:r>
      <w:r w:rsidR="00B05011" w:rsidRPr="006E7C93">
        <w:rPr>
          <w:rFonts w:ascii="Bookman Old Style" w:hAnsi="Bookman Old Style" w:cs="Verdana"/>
          <w:sz w:val="22"/>
          <w:szCs w:val="22"/>
        </w:rPr>
        <w:t>1, comma 236, della legge n. 208 del 2015.</w:t>
      </w:r>
    </w:p>
    <w:p w14:paraId="294A89D7" w14:textId="77777777" w:rsidR="001F47A6" w:rsidRPr="006E7C93" w:rsidRDefault="001F47A6" w:rsidP="00CC742B">
      <w:pPr>
        <w:pStyle w:val="Corpotesto"/>
        <w:spacing w:line="480" w:lineRule="auto"/>
        <w:rPr>
          <w:rFonts w:ascii="Bookman Old Style" w:hAnsi="Bookman Old Style" w:cs="Verdana"/>
          <w:sz w:val="22"/>
          <w:szCs w:val="22"/>
        </w:rPr>
      </w:pPr>
    </w:p>
    <w:p w14:paraId="2B96C171" w14:textId="77777777" w:rsidR="009171FB" w:rsidRPr="006E7C93" w:rsidRDefault="002162DF" w:rsidP="00727D59">
      <w:pPr>
        <w:pStyle w:val="Corpotesto"/>
        <w:spacing w:line="480" w:lineRule="auto"/>
        <w:jc w:val="center"/>
        <w:rPr>
          <w:rFonts w:ascii="Bookman Old Style" w:hAnsi="Bookman Old Style" w:cs="Verdana"/>
          <w:b/>
          <w:sz w:val="22"/>
          <w:szCs w:val="22"/>
        </w:rPr>
      </w:pPr>
      <w:r w:rsidRPr="006E7C93">
        <w:rPr>
          <w:rFonts w:ascii="Bookman Old Style" w:hAnsi="Bookman Old Style" w:cs="Verdana"/>
          <w:b/>
          <w:sz w:val="22"/>
          <w:szCs w:val="22"/>
        </w:rPr>
        <w:t xml:space="preserve"> </w:t>
      </w:r>
      <w:r w:rsidR="009171FB" w:rsidRPr="006E7C93">
        <w:rPr>
          <w:rFonts w:ascii="Bookman Old Style" w:hAnsi="Bookman Old Style" w:cs="Verdana"/>
          <w:b/>
          <w:sz w:val="22"/>
          <w:szCs w:val="22"/>
        </w:rPr>
        <w:t>DIRITTO</w:t>
      </w:r>
    </w:p>
    <w:p w14:paraId="5187D8B4" w14:textId="7143D4D4" w:rsidR="00E90A9A" w:rsidRPr="006E7C93" w:rsidRDefault="00E90A9A" w:rsidP="00E90A9A">
      <w:pPr>
        <w:spacing w:line="480" w:lineRule="auto"/>
        <w:jc w:val="both"/>
        <w:rPr>
          <w:rFonts w:ascii="Bookman Old Style" w:hAnsi="Bookman Old Style" w:cs="Verdana"/>
          <w:sz w:val="22"/>
          <w:szCs w:val="22"/>
        </w:rPr>
      </w:pPr>
      <w:r w:rsidRPr="006E7C93">
        <w:rPr>
          <w:rFonts w:ascii="Bookman Old Style" w:hAnsi="Bookman Old Style" w:cs="Verdana"/>
          <w:sz w:val="22"/>
          <w:szCs w:val="22"/>
        </w:rPr>
        <w:t>La richiesta di parere è da considerarsi ammissibile sotto il profilo soggettivo e procedurale in quanto è stata sottoscritta dall’organo legittimato a rappresentare l’Amministrazione ed è stata trasmessa tramite il Consiglio delle Autonomie Locali della Liguria, nel rispetto, cioè, delle formalità previste dall’art. 7, comma 8</w:t>
      </w:r>
      <w:r w:rsidR="007131A8">
        <w:rPr>
          <w:rFonts w:ascii="Bookman Old Style" w:hAnsi="Bookman Old Style" w:cs="Verdana"/>
          <w:sz w:val="22"/>
          <w:szCs w:val="22"/>
        </w:rPr>
        <w:t>,</w:t>
      </w:r>
      <w:r w:rsidRPr="006E7C93">
        <w:rPr>
          <w:rFonts w:ascii="Bookman Old Style" w:hAnsi="Bookman Old Style" w:cs="Verdana"/>
          <w:sz w:val="22"/>
          <w:szCs w:val="22"/>
        </w:rPr>
        <w:t xml:space="preserve"> della legge 5 giugno 2003, n. 131. </w:t>
      </w:r>
    </w:p>
    <w:p w14:paraId="63914442" w14:textId="77777777" w:rsidR="00733EB1" w:rsidRPr="006E7C93" w:rsidRDefault="00733EB1" w:rsidP="00733EB1">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Allo stesso modo il quesito è da considerarsi ammissibile sotto il profilo oggettivo in quanto la questione rientra nella materia della spesa del personale e delle norme finalizzate al contenimento della finanza pubblica.</w:t>
      </w:r>
    </w:p>
    <w:p w14:paraId="56F49422" w14:textId="736A3BE0" w:rsidR="004E70AA" w:rsidRPr="006E7C93" w:rsidRDefault="004E70AA" w:rsidP="004E70AA">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Nel merito il quesito riguarda i “nuovi” incentivi tecnici previsti dall'art. 113 del </w:t>
      </w:r>
      <w:r w:rsidR="00C7710A">
        <w:rPr>
          <w:rFonts w:ascii="Bookman Old Style" w:hAnsi="Bookman Old Style" w:cs="Verdana"/>
          <w:sz w:val="22"/>
          <w:szCs w:val="22"/>
        </w:rPr>
        <w:t>d</w:t>
      </w:r>
      <w:r w:rsidR="0078153D">
        <w:rPr>
          <w:rFonts w:ascii="Bookman Old Style" w:hAnsi="Bookman Old Style" w:cs="Verdana"/>
          <w:sz w:val="22"/>
          <w:szCs w:val="22"/>
        </w:rPr>
        <w:t>.l</w:t>
      </w:r>
      <w:r w:rsidRPr="006E7C93">
        <w:rPr>
          <w:rFonts w:ascii="Bookman Old Style" w:hAnsi="Bookman Old Style" w:cs="Verdana"/>
          <w:sz w:val="22"/>
          <w:szCs w:val="22"/>
        </w:rPr>
        <w:t>gs</w:t>
      </w:r>
      <w:r w:rsidR="00C0170A">
        <w:rPr>
          <w:rFonts w:ascii="Bookman Old Style" w:hAnsi="Bookman Old Style" w:cs="Verdana"/>
          <w:sz w:val="22"/>
          <w:szCs w:val="22"/>
        </w:rPr>
        <w:t>.</w:t>
      </w:r>
      <w:r w:rsidRPr="006E7C93">
        <w:rPr>
          <w:rFonts w:ascii="Bookman Old Style" w:hAnsi="Bookman Old Style" w:cs="Verdana"/>
          <w:sz w:val="22"/>
          <w:szCs w:val="22"/>
        </w:rPr>
        <w:t xml:space="preserve"> n. 50 del 2016. In particolare, </w:t>
      </w:r>
      <w:r w:rsidR="000D7422" w:rsidRPr="006E7C93">
        <w:rPr>
          <w:rFonts w:ascii="Bookman Old Style" w:hAnsi="Bookman Old Style" w:cs="Verdana"/>
          <w:sz w:val="22"/>
          <w:szCs w:val="22"/>
        </w:rPr>
        <w:t xml:space="preserve">il Comune chiede di sapere </w:t>
      </w:r>
      <w:r w:rsidRPr="006E7C93">
        <w:rPr>
          <w:rFonts w:ascii="Bookman Old Style" w:hAnsi="Bookman Old Style" w:cs="Verdana"/>
          <w:sz w:val="22"/>
          <w:szCs w:val="22"/>
        </w:rPr>
        <w:t>se tali incentivi debbano essere inseriti nel calcolo della spesa per il personale, ai fini della verifica del rispetto del limite previsto dell'art. 1, comma</w:t>
      </w:r>
      <w:r w:rsidRPr="006E7C93">
        <w:rPr>
          <w:rFonts w:ascii="Bookman Old Style" w:hAnsi="Bookman Old Style" w:cs="Verdana"/>
          <w:sz w:val="22"/>
          <w:szCs w:val="22"/>
          <w:vertAlign w:val="superscript"/>
        </w:rPr>
        <w:t>.</w:t>
      </w:r>
      <w:r w:rsidRPr="006E7C93">
        <w:rPr>
          <w:rFonts w:ascii="Bookman Old Style" w:hAnsi="Bookman Old Style" w:cs="Verdana"/>
          <w:sz w:val="22"/>
          <w:szCs w:val="22"/>
        </w:rPr>
        <w:t xml:space="preserve"> 557, </w:t>
      </w:r>
      <w:r w:rsidR="007131A8">
        <w:rPr>
          <w:rFonts w:ascii="Bookman Old Style" w:hAnsi="Bookman Old Style" w:cs="Verdana"/>
          <w:sz w:val="22"/>
          <w:szCs w:val="22"/>
        </w:rPr>
        <w:t xml:space="preserve">della </w:t>
      </w:r>
      <w:r w:rsidRPr="006E7C93">
        <w:rPr>
          <w:rFonts w:ascii="Bookman Old Style" w:hAnsi="Bookman Old Style" w:cs="Verdana"/>
          <w:sz w:val="22"/>
          <w:szCs w:val="22"/>
        </w:rPr>
        <w:t>legge n. 296 del 2006 (limite rappresentato dalla spesa media del triennio 2011-2013).</w:t>
      </w:r>
    </w:p>
    <w:p w14:paraId="7FE3B55D" w14:textId="6B455328" w:rsidR="00372BE9" w:rsidRPr="006E7C93" w:rsidRDefault="00372BE9" w:rsidP="004E70AA">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lastRenderedPageBreak/>
        <w:t xml:space="preserve">Per individuare un percorso interpretativo idoneo a dare soluzione al quesito all’esame di questo Collegio, occorre ricordare quanto la normativa previgente disponeva e le soluzioni </w:t>
      </w:r>
      <w:r w:rsidR="001B04EB">
        <w:rPr>
          <w:rFonts w:ascii="Bookman Old Style" w:hAnsi="Bookman Old Style" w:cs="Verdana"/>
          <w:sz w:val="22"/>
          <w:szCs w:val="22"/>
        </w:rPr>
        <w:t xml:space="preserve">al riguardo </w:t>
      </w:r>
      <w:r w:rsidRPr="006E7C93">
        <w:rPr>
          <w:rFonts w:ascii="Bookman Old Style" w:hAnsi="Bookman Old Style" w:cs="Verdana"/>
          <w:sz w:val="22"/>
          <w:szCs w:val="22"/>
        </w:rPr>
        <w:t>adottate dalle Sezioni</w:t>
      </w:r>
      <w:r w:rsidR="001B04EB">
        <w:rPr>
          <w:rFonts w:ascii="Bookman Old Style" w:hAnsi="Bookman Old Style" w:cs="Verdana"/>
          <w:sz w:val="22"/>
          <w:szCs w:val="22"/>
        </w:rPr>
        <w:t xml:space="preserve"> di controllo</w:t>
      </w:r>
      <w:r w:rsidRPr="006E7C93">
        <w:rPr>
          <w:rFonts w:ascii="Bookman Old Style" w:hAnsi="Bookman Old Style" w:cs="Verdana"/>
          <w:sz w:val="22"/>
          <w:szCs w:val="22"/>
        </w:rPr>
        <w:t xml:space="preserve"> </w:t>
      </w:r>
      <w:r w:rsidR="001B04EB">
        <w:rPr>
          <w:rFonts w:ascii="Bookman Old Style" w:hAnsi="Bookman Old Style" w:cs="Verdana"/>
          <w:sz w:val="22"/>
          <w:szCs w:val="22"/>
        </w:rPr>
        <w:t>di questa</w:t>
      </w:r>
      <w:r w:rsidRPr="006E7C93">
        <w:rPr>
          <w:rFonts w:ascii="Bookman Old Style" w:hAnsi="Bookman Old Style" w:cs="Verdana"/>
          <w:sz w:val="22"/>
          <w:szCs w:val="22"/>
        </w:rPr>
        <w:t xml:space="preserve"> Corte dei conti.</w:t>
      </w:r>
    </w:p>
    <w:p w14:paraId="39FD89DD" w14:textId="08C6FDA0" w:rsidR="001B04EB" w:rsidRDefault="001B04EB" w:rsidP="00B53513">
      <w:pPr>
        <w:pStyle w:val="Corpotesto"/>
        <w:spacing w:line="480" w:lineRule="auto"/>
        <w:rPr>
          <w:rFonts w:ascii="Bookman Old Style" w:hAnsi="Bookman Old Style" w:cs="Verdana"/>
          <w:sz w:val="22"/>
          <w:szCs w:val="22"/>
        </w:rPr>
      </w:pPr>
      <w:r>
        <w:rPr>
          <w:rFonts w:ascii="Bookman Old Style" w:hAnsi="Bookman Old Style" w:cs="Verdana"/>
          <w:sz w:val="22"/>
          <w:szCs w:val="22"/>
        </w:rPr>
        <w:t>In proposito i</w:t>
      </w:r>
      <w:r w:rsidR="00372BE9" w:rsidRPr="006E7C93">
        <w:rPr>
          <w:rFonts w:ascii="Bookman Old Style" w:hAnsi="Bookman Old Style" w:cs="Verdana"/>
          <w:sz w:val="22"/>
          <w:szCs w:val="22"/>
        </w:rPr>
        <w:t>l d.lgs. 163 del 20</w:t>
      </w:r>
      <w:r w:rsidR="00A57B5A">
        <w:rPr>
          <w:rFonts w:ascii="Bookman Old Style" w:hAnsi="Bookman Old Style" w:cs="Verdana"/>
          <w:sz w:val="22"/>
          <w:szCs w:val="22"/>
        </w:rPr>
        <w:t>0</w:t>
      </w:r>
      <w:r w:rsidR="00372BE9" w:rsidRPr="006E7C93">
        <w:rPr>
          <w:rFonts w:ascii="Bookman Old Style" w:hAnsi="Bookman Old Style" w:cs="Verdana"/>
          <w:sz w:val="22"/>
          <w:szCs w:val="22"/>
        </w:rPr>
        <w:t xml:space="preserve">6, all’art. </w:t>
      </w:r>
      <w:r w:rsidR="00B53513" w:rsidRPr="006E7C93">
        <w:rPr>
          <w:rFonts w:ascii="Bookman Old Style" w:hAnsi="Bookman Old Style" w:cs="Verdana"/>
          <w:sz w:val="22"/>
          <w:szCs w:val="22"/>
        </w:rPr>
        <w:t xml:space="preserve">93, disciplinava i cd. incentivi alla progettazione: </w:t>
      </w:r>
    </w:p>
    <w:p w14:paraId="5DB1A8E5" w14:textId="36132F1F" w:rsidR="00B53513" w:rsidRPr="006E7C93" w:rsidRDefault="00793F8B" w:rsidP="00B53513">
      <w:pPr>
        <w:pStyle w:val="Corpotesto"/>
        <w:spacing w:line="480" w:lineRule="auto"/>
        <w:rPr>
          <w:rFonts w:ascii="Bookman Old Style" w:hAnsi="Bookman Old Style" w:cs="Verdana"/>
          <w:sz w:val="22"/>
          <w:szCs w:val="22"/>
        </w:rPr>
      </w:pPr>
      <w:r w:rsidRPr="00742214">
        <w:rPr>
          <w:rFonts w:ascii="Bookman Old Style" w:hAnsi="Bookman Old Style" w:cs="Verdana"/>
          <w:i/>
          <w:sz w:val="22"/>
          <w:szCs w:val="22"/>
        </w:rPr>
        <w:t>C</w:t>
      </w:r>
      <w:r w:rsidR="001B04EB" w:rsidRPr="00742214">
        <w:rPr>
          <w:rFonts w:ascii="Bookman Old Style" w:hAnsi="Bookman Old Style" w:cs="Verdana"/>
          <w:i/>
          <w:sz w:val="22"/>
          <w:szCs w:val="22"/>
        </w:rPr>
        <w:t>omma</w:t>
      </w:r>
      <w:r w:rsidR="001B04EB" w:rsidRPr="00742214">
        <w:rPr>
          <w:rFonts w:ascii="Bookman Old Style" w:hAnsi="Bookman Old Style" w:cs="Verdana"/>
          <w:sz w:val="22"/>
          <w:szCs w:val="22"/>
        </w:rPr>
        <w:t xml:space="preserve"> </w:t>
      </w:r>
      <w:r w:rsidR="00B53513" w:rsidRPr="00742214">
        <w:rPr>
          <w:rFonts w:ascii="Bookman Old Style" w:hAnsi="Bookman Old Style" w:cs="Verdana"/>
          <w:i/>
          <w:sz w:val="22"/>
          <w:szCs w:val="22"/>
        </w:rPr>
        <w:t>7-bis</w:t>
      </w:r>
      <w:r w:rsidR="00B53513" w:rsidRPr="006E7C93">
        <w:rPr>
          <w:rFonts w:ascii="Bookman Old Style" w:hAnsi="Bookman Old Style" w:cs="Verdana"/>
          <w:i/>
          <w:sz w:val="22"/>
          <w:szCs w:val="22"/>
        </w:rPr>
        <w:t xml:space="preserve">. </w:t>
      </w:r>
      <w:r w:rsidR="00121B5A">
        <w:rPr>
          <w:rFonts w:ascii="Bookman Old Style" w:hAnsi="Bookman Old Style" w:cs="Verdana"/>
          <w:i/>
          <w:sz w:val="22"/>
          <w:szCs w:val="22"/>
        </w:rPr>
        <w:t>“</w:t>
      </w:r>
      <w:r w:rsidR="00B53513" w:rsidRPr="006E7C93">
        <w:rPr>
          <w:rFonts w:ascii="Bookman Old Style" w:hAnsi="Bookman Old Style" w:cs="Verdana"/>
          <w:i/>
          <w:sz w:val="22"/>
          <w:szCs w:val="22"/>
        </w:rPr>
        <w:t xml:space="preserve">A valere sugli stanziamenti </w:t>
      </w:r>
      <w:r w:rsidR="007C1B7D">
        <w:rPr>
          <w:rFonts w:ascii="Bookman Old Style" w:hAnsi="Bookman Old Style" w:cs="Verdana"/>
          <w:i/>
          <w:sz w:val="22"/>
          <w:szCs w:val="22"/>
        </w:rPr>
        <w:t>d</w:t>
      </w:r>
      <w:r>
        <w:rPr>
          <w:rFonts w:ascii="Bookman Old Style" w:hAnsi="Bookman Old Style" w:cs="Verdana"/>
          <w:i/>
          <w:sz w:val="22"/>
          <w:szCs w:val="22"/>
        </w:rPr>
        <w:t>i cui al comma 7</w:t>
      </w:r>
      <w:r w:rsidR="00B53513" w:rsidRPr="006E7C93">
        <w:rPr>
          <w:rFonts w:ascii="Bookman Old Style" w:hAnsi="Bookman Old Style" w:cs="Verdana"/>
          <w:i/>
          <w:sz w:val="22"/>
          <w:szCs w:val="22"/>
        </w:rPr>
        <w:t xml:space="preserve"> </w:t>
      </w:r>
      <w:r w:rsidR="003B6AD0" w:rsidRPr="006E7C93">
        <w:rPr>
          <w:rFonts w:ascii="Bookman Old Style" w:hAnsi="Bookman Old Style" w:cs="Verdana"/>
          <w:i/>
          <w:sz w:val="22"/>
          <w:szCs w:val="22"/>
        </w:rPr>
        <w:t>(</w:t>
      </w:r>
      <w:r w:rsidR="003B6AD0" w:rsidRPr="006E7C93">
        <w:rPr>
          <w:rFonts w:ascii="Bookman Old Style" w:hAnsi="Bookman Old Style"/>
          <w:color w:val="000000"/>
          <w:sz w:val="22"/>
          <w:szCs w:val="22"/>
          <w:shd w:val="clear" w:color="auto" w:fill="F9F9F9"/>
        </w:rPr>
        <w:t>stanziamenti previsti per la realizzazione dei singoli lavori negli stati di previsione della spesa o nei bilanci delle stazioni appaltanti)</w:t>
      </w:r>
      <w:r>
        <w:rPr>
          <w:rFonts w:ascii="Bookman Old Style" w:hAnsi="Bookman Old Style"/>
          <w:color w:val="000000"/>
          <w:sz w:val="22"/>
          <w:szCs w:val="22"/>
          <w:shd w:val="clear" w:color="auto" w:fill="F9F9F9"/>
        </w:rPr>
        <w:t>,</w:t>
      </w:r>
      <w:r w:rsidR="003B6AD0" w:rsidRPr="006E7C93">
        <w:rPr>
          <w:color w:val="000000"/>
          <w:sz w:val="19"/>
          <w:szCs w:val="19"/>
          <w:shd w:val="clear" w:color="auto" w:fill="F9F9F9"/>
        </w:rPr>
        <w:t xml:space="preserve"> </w:t>
      </w:r>
      <w:r w:rsidR="00B53513" w:rsidRPr="006E7C93">
        <w:rPr>
          <w:rFonts w:ascii="Bookman Old Style" w:hAnsi="Bookman Old Style" w:cs="Verdana"/>
          <w:i/>
          <w:sz w:val="22"/>
          <w:szCs w:val="22"/>
        </w:rPr>
        <w:t>le amministrazioni pubbliche destinano ad un fondo per la progettazione e l’innovazione risorse finanziarie in misura non superiore al 2 per cento degli importi posti a base di gara di un’opera o di un lavoro; la percentuale effettiva è stabilita da un regolamento adottato dall’amministrazione, in rapporto all’entità e alla compl</w:t>
      </w:r>
      <w:r w:rsidR="00121B5A">
        <w:rPr>
          <w:rFonts w:ascii="Bookman Old Style" w:hAnsi="Bookman Old Style" w:cs="Verdana"/>
          <w:i/>
          <w:sz w:val="22"/>
          <w:szCs w:val="22"/>
        </w:rPr>
        <w:t>essità dell’opera da realizzare”.</w:t>
      </w:r>
    </w:p>
    <w:p w14:paraId="03A939A1" w14:textId="7A2F7418" w:rsidR="003B6AD0" w:rsidRPr="006E7C93" w:rsidRDefault="00793F8B" w:rsidP="004E70AA">
      <w:pPr>
        <w:pStyle w:val="Corpotesto"/>
        <w:spacing w:line="480" w:lineRule="auto"/>
        <w:rPr>
          <w:rFonts w:ascii="Bookman Old Style" w:hAnsi="Bookman Old Style" w:cs="Verdana"/>
          <w:sz w:val="22"/>
          <w:szCs w:val="22"/>
        </w:rPr>
      </w:pPr>
      <w:r w:rsidRPr="00742214">
        <w:rPr>
          <w:rFonts w:ascii="Bookman Old Style" w:hAnsi="Bookman Old Style" w:cs="Verdana"/>
          <w:i/>
          <w:sz w:val="22"/>
          <w:szCs w:val="22"/>
        </w:rPr>
        <w:t xml:space="preserve">Comma </w:t>
      </w:r>
      <w:r w:rsidR="00B53513" w:rsidRPr="00742214">
        <w:rPr>
          <w:rFonts w:ascii="Bookman Old Style" w:hAnsi="Bookman Old Style" w:cs="Verdana"/>
          <w:i/>
          <w:sz w:val="22"/>
          <w:szCs w:val="22"/>
        </w:rPr>
        <w:t>7-ter</w:t>
      </w:r>
      <w:r w:rsidR="00B53513" w:rsidRPr="006E7C93">
        <w:rPr>
          <w:rFonts w:ascii="Bookman Old Style" w:hAnsi="Bookman Old Style" w:cs="Verdana"/>
          <w:i/>
          <w:sz w:val="22"/>
          <w:szCs w:val="22"/>
        </w:rPr>
        <w:t xml:space="preserve">. </w:t>
      </w:r>
      <w:r w:rsidR="00121B5A">
        <w:rPr>
          <w:rFonts w:ascii="Bookman Old Style" w:hAnsi="Bookman Old Style" w:cs="Verdana"/>
          <w:i/>
          <w:sz w:val="22"/>
          <w:szCs w:val="22"/>
        </w:rPr>
        <w:t>“</w:t>
      </w:r>
      <w:r w:rsidR="00B53513" w:rsidRPr="006E7C93">
        <w:rPr>
          <w:rFonts w:ascii="Bookman Old Style" w:hAnsi="Bookman Old Style" w:cs="Verdana"/>
          <w:i/>
          <w:sz w:val="22"/>
          <w:szCs w:val="22"/>
        </w:rPr>
        <w:t xml:space="preserve">L’80 per cento delle risorse finanziarie del  fondo  per  la progettazione e l’innovazione è  ripartito,  per  ciascuna  opera  o lavoro,  con  le  modalità  e  i  criteri  previsti   in   sede   di contrattazione decentrata integrativa del personale  e  adottati  nel regolamento  di  cui  al  comma  7-bis,  tra  il   responsabile   del procedimento e gli incaricati della redazione del progetto, del piano della sicurezza, della direzione dei lavori,  del  collaudo,  nonché tra i loro collaboratori; gli importi sono  comprensivi  anche  degli oneri previdenziali e assistenziali a carico dell’amministrazione. Il regolamento definisce i criteri di riparto delle risorse  del  fondo, tenendo  conto  delle  responsabilità   connesse   alle   specifiche prestazioni  da  svolgere,  con  particolare  riferimento  a   quelle effettivamente assunte e non rientranti  nella  qualifica  funzionale ricoperta, della complessità delle opere,  escludendo  le  attività manutentive, e dell’effettivo  </w:t>
      </w:r>
      <w:r w:rsidR="00B53513" w:rsidRPr="006E7C93">
        <w:rPr>
          <w:rFonts w:ascii="Bookman Old Style" w:hAnsi="Bookman Old Style" w:cs="Verdana"/>
          <w:i/>
          <w:sz w:val="22"/>
          <w:szCs w:val="22"/>
        </w:rPr>
        <w:lastRenderedPageBreak/>
        <w:t>rispetto,  in  fase  di  realizzazione dell’opera, dei tempi e dei costi previsti dal quadro  economico  del progetto esecutivo. Il regolamento stabilisce altresì ……”.</w:t>
      </w:r>
    </w:p>
    <w:p w14:paraId="0E148033" w14:textId="4626D56D" w:rsidR="003B6AD0" w:rsidRPr="006E7C93" w:rsidRDefault="00B35F85" w:rsidP="004E70AA">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Sulla rilevanza di tali incentivi, e del relativo fondo, ai fini del computo </w:t>
      </w:r>
      <w:r w:rsidR="003B6AD0" w:rsidRPr="006E7C93">
        <w:rPr>
          <w:rFonts w:ascii="Bookman Old Style" w:hAnsi="Bookman Old Style" w:cs="Verdana"/>
          <w:sz w:val="22"/>
          <w:szCs w:val="22"/>
        </w:rPr>
        <w:t xml:space="preserve">della spesa del personale </w:t>
      </w:r>
      <w:r w:rsidRPr="006E7C93">
        <w:rPr>
          <w:rFonts w:ascii="Bookman Old Style" w:hAnsi="Bookman Old Style" w:cs="Verdana"/>
          <w:sz w:val="22"/>
          <w:szCs w:val="22"/>
        </w:rPr>
        <w:t>rilevante a</w:t>
      </w:r>
      <w:r w:rsidR="00C0170A">
        <w:rPr>
          <w:rFonts w:ascii="Bookman Old Style" w:hAnsi="Bookman Old Style" w:cs="Verdana"/>
          <w:sz w:val="22"/>
          <w:szCs w:val="22"/>
        </w:rPr>
        <w:t>l</w:t>
      </w:r>
      <w:r w:rsidRPr="006E7C93">
        <w:rPr>
          <w:rFonts w:ascii="Bookman Old Style" w:hAnsi="Bookman Old Style" w:cs="Verdana"/>
          <w:sz w:val="22"/>
          <w:szCs w:val="22"/>
        </w:rPr>
        <w:t xml:space="preserve"> fine del rispetto del tetto di spesa complessivo </w:t>
      </w:r>
      <w:r w:rsidR="00C90797">
        <w:rPr>
          <w:rFonts w:ascii="Bookman Old Style" w:hAnsi="Bookman Old Style" w:cs="Verdana"/>
          <w:sz w:val="22"/>
          <w:szCs w:val="22"/>
        </w:rPr>
        <w:t>di cui all’art</w:t>
      </w:r>
      <w:r w:rsidRPr="006E7C93">
        <w:rPr>
          <w:rFonts w:ascii="Bookman Old Style" w:hAnsi="Bookman Old Style" w:cs="Verdana"/>
          <w:sz w:val="22"/>
          <w:szCs w:val="22"/>
        </w:rPr>
        <w:t>. 1</w:t>
      </w:r>
      <w:r w:rsidR="00C90797">
        <w:rPr>
          <w:rFonts w:ascii="Bookman Old Style" w:hAnsi="Bookman Old Style" w:cs="Verdana"/>
          <w:sz w:val="22"/>
          <w:szCs w:val="22"/>
        </w:rPr>
        <w:t>,</w:t>
      </w:r>
      <w:r w:rsidRPr="006E7C93">
        <w:rPr>
          <w:rFonts w:ascii="Bookman Old Style" w:hAnsi="Bookman Old Style" w:cs="Verdana"/>
          <w:sz w:val="22"/>
          <w:szCs w:val="22"/>
        </w:rPr>
        <w:t xml:space="preserve"> comma 557</w:t>
      </w:r>
      <w:r w:rsidR="00C90797">
        <w:rPr>
          <w:rFonts w:ascii="Bookman Old Style" w:hAnsi="Bookman Old Style" w:cs="Verdana"/>
          <w:sz w:val="22"/>
          <w:szCs w:val="22"/>
        </w:rPr>
        <w:t>, della legge n. 296 del 2006,</w:t>
      </w:r>
      <w:r w:rsidRPr="006E7C93">
        <w:rPr>
          <w:rFonts w:ascii="Bookman Old Style" w:hAnsi="Bookman Old Style" w:cs="Verdana"/>
          <w:sz w:val="22"/>
          <w:szCs w:val="22"/>
        </w:rPr>
        <w:t xml:space="preserve"> nonché dei limiti stabiliti per le risorse destinate annualmente al tratta</w:t>
      </w:r>
      <w:r w:rsidR="00C90797">
        <w:rPr>
          <w:rFonts w:ascii="Bookman Old Style" w:hAnsi="Bookman Old Style" w:cs="Verdana"/>
          <w:sz w:val="22"/>
          <w:szCs w:val="22"/>
        </w:rPr>
        <w:t xml:space="preserve">mento accessorio del personale ex </w:t>
      </w:r>
      <w:r w:rsidRPr="006E7C93">
        <w:rPr>
          <w:rFonts w:ascii="Bookman Old Style" w:hAnsi="Bookman Old Style" w:cs="Verdana"/>
          <w:sz w:val="22"/>
          <w:szCs w:val="22"/>
        </w:rPr>
        <w:t>art. 9, c</w:t>
      </w:r>
      <w:r w:rsidR="00C90797">
        <w:rPr>
          <w:rFonts w:ascii="Bookman Old Style" w:hAnsi="Bookman Old Style" w:cs="Verdana"/>
          <w:sz w:val="22"/>
          <w:szCs w:val="22"/>
        </w:rPr>
        <w:t>omma 2-bis, del d.l. n. 78/2010,</w:t>
      </w:r>
      <w:r w:rsidRPr="006E7C93">
        <w:rPr>
          <w:rFonts w:ascii="Bookman Old Style" w:hAnsi="Bookman Old Style" w:cs="Verdana"/>
          <w:sz w:val="22"/>
          <w:szCs w:val="22"/>
        </w:rPr>
        <w:t xml:space="preserve"> previsto dalla normativa vigente, si sono espresse </w:t>
      </w:r>
      <w:r w:rsidR="00B13A08">
        <w:rPr>
          <w:rFonts w:ascii="Bookman Old Style" w:hAnsi="Bookman Old Style" w:cs="Verdana"/>
          <w:sz w:val="22"/>
          <w:szCs w:val="22"/>
        </w:rPr>
        <w:t xml:space="preserve">tanto </w:t>
      </w:r>
      <w:r w:rsidRPr="006E7C93">
        <w:rPr>
          <w:rFonts w:ascii="Bookman Old Style" w:hAnsi="Bookman Old Style" w:cs="Verdana"/>
          <w:sz w:val="22"/>
          <w:szCs w:val="22"/>
        </w:rPr>
        <w:t xml:space="preserve">le </w:t>
      </w:r>
      <w:r w:rsidR="00B56CAC">
        <w:rPr>
          <w:rFonts w:ascii="Bookman Old Style" w:hAnsi="Bookman Old Style" w:cs="Verdana"/>
          <w:sz w:val="22"/>
          <w:szCs w:val="22"/>
        </w:rPr>
        <w:t>Sezioni r</w:t>
      </w:r>
      <w:r w:rsidR="00020CA8">
        <w:rPr>
          <w:rFonts w:ascii="Bookman Old Style" w:hAnsi="Bookman Old Style" w:cs="Verdana"/>
          <w:sz w:val="22"/>
          <w:szCs w:val="22"/>
        </w:rPr>
        <w:t>iunite</w:t>
      </w:r>
      <w:r w:rsidR="00B13A08">
        <w:rPr>
          <w:rFonts w:ascii="Bookman Old Style" w:hAnsi="Bookman Old Style" w:cs="Verdana"/>
          <w:sz w:val="22"/>
          <w:szCs w:val="22"/>
        </w:rPr>
        <w:t>, ch</w:t>
      </w:r>
      <w:r w:rsidRPr="006E7C93">
        <w:rPr>
          <w:rFonts w:ascii="Bookman Old Style" w:hAnsi="Bookman Old Style" w:cs="Verdana"/>
          <w:sz w:val="22"/>
          <w:szCs w:val="22"/>
        </w:rPr>
        <w:t>e la Sezione delle Autonomie.</w:t>
      </w:r>
    </w:p>
    <w:p w14:paraId="4386EC89" w14:textId="6F5A30F5" w:rsidR="007E0F22" w:rsidRPr="006E7C93" w:rsidRDefault="00B35F85" w:rsidP="004E70AA">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Quest’ultima</w:t>
      </w:r>
      <w:r w:rsidR="007E0F22" w:rsidRPr="006E7C93">
        <w:rPr>
          <w:rFonts w:ascii="Bookman Old Style" w:hAnsi="Bookman Old Style" w:cs="Verdana"/>
          <w:sz w:val="22"/>
          <w:szCs w:val="22"/>
        </w:rPr>
        <w:t>, con la</w:t>
      </w:r>
      <w:r w:rsidRPr="006E7C93">
        <w:rPr>
          <w:rFonts w:ascii="Bookman Old Style" w:hAnsi="Bookman Old Style" w:cs="Verdana"/>
          <w:sz w:val="22"/>
          <w:szCs w:val="22"/>
        </w:rPr>
        <w:t xml:space="preserve"> </w:t>
      </w:r>
      <w:r w:rsidR="007E0F22" w:rsidRPr="006E7C93">
        <w:rPr>
          <w:rFonts w:ascii="Bookman Old Style" w:hAnsi="Bookman Old Style" w:cs="Verdana"/>
          <w:iCs/>
          <w:sz w:val="22"/>
          <w:szCs w:val="22"/>
        </w:rPr>
        <w:t xml:space="preserve">deliberazione n. 16/SEZAUT/2009/QMIG, aveva disposto, ai fini del computo delle voci di spesa da ridurre a norma dell’art. 1, commi 557 e 562, </w:t>
      </w:r>
      <w:r w:rsidR="00B13A08">
        <w:rPr>
          <w:rFonts w:ascii="Bookman Old Style" w:hAnsi="Bookman Old Style" w:cs="Verdana"/>
          <w:iCs/>
          <w:sz w:val="22"/>
          <w:szCs w:val="22"/>
        </w:rPr>
        <w:t>della legge</w:t>
      </w:r>
      <w:r w:rsidR="007E0F22" w:rsidRPr="006E7C93">
        <w:rPr>
          <w:rFonts w:ascii="Bookman Old Style" w:hAnsi="Bookman Old Style" w:cs="Verdana"/>
          <w:iCs/>
          <w:sz w:val="22"/>
          <w:szCs w:val="22"/>
        </w:rPr>
        <w:t xml:space="preserve"> 27 dicembre 2006, n. 296, l’esclusione degli incentivi per la progettazione interna a motivo della loro riconosciuta natura “</w:t>
      </w:r>
      <w:r w:rsidR="007E0F22" w:rsidRPr="006E7C93">
        <w:rPr>
          <w:rFonts w:ascii="Bookman Old Style" w:hAnsi="Bookman Old Style" w:cs="Verdana"/>
          <w:i/>
          <w:iCs/>
          <w:sz w:val="22"/>
          <w:szCs w:val="22"/>
        </w:rPr>
        <w:t>di spese di investimento, attinenti alla gestione in conto capitale, iscritte nel titolo II della spesa, e finanziate nell’ambito dei fondi stanziati per la realizzazione di un’opera pubblica, e non di spese di funzionamento</w:t>
      </w:r>
      <w:r w:rsidR="007E0F22" w:rsidRPr="006E7C93">
        <w:rPr>
          <w:rFonts w:ascii="Bookman Old Style" w:hAnsi="Bookman Old Style" w:cs="Verdana"/>
          <w:iCs/>
          <w:sz w:val="22"/>
          <w:szCs w:val="22"/>
        </w:rPr>
        <w:t>”.</w:t>
      </w:r>
    </w:p>
    <w:p w14:paraId="2A2D0C9A" w14:textId="40EBA8D4" w:rsidR="00B35F85" w:rsidRPr="006E7C93" w:rsidRDefault="00B35F85" w:rsidP="004E70AA">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Le </w:t>
      </w:r>
      <w:r w:rsidR="00020CA8">
        <w:rPr>
          <w:rFonts w:ascii="Bookman Old Style" w:hAnsi="Bookman Old Style" w:cs="Verdana"/>
          <w:sz w:val="22"/>
          <w:szCs w:val="22"/>
        </w:rPr>
        <w:t>Sezioni Riunite</w:t>
      </w:r>
      <w:r w:rsidRPr="006E7C93">
        <w:rPr>
          <w:rFonts w:ascii="Bookman Old Style" w:hAnsi="Bookman Old Style" w:cs="Verdana"/>
          <w:sz w:val="22"/>
          <w:szCs w:val="22"/>
        </w:rPr>
        <w:t xml:space="preserve">, </w:t>
      </w:r>
      <w:r w:rsidR="00B13A08">
        <w:rPr>
          <w:rFonts w:ascii="Bookman Old Style" w:hAnsi="Bookman Old Style" w:cs="Verdana"/>
          <w:sz w:val="22"/>
          <w:szCs w:val="22"/>
        </w:rPr>
        <w:t xml:space="preserve">a loro volta, </w:t>
      </w:r>
      <w:r w:rsidRPr="006E7C93">
        <w:rPr>
          <w:rFonts w:ascii="Bookman Old Style" w:hAnsi="Bookman Old Style" w:cs="Verdana"/>
          <w:sz w:val="22"/>
          <w:szCs w:val="22"/>
        </w:rPr>
        <w:t>con la pronuncia n. 51/2011, avevano</w:t>
      </w:r>
      <w:r w:rsidR="00B13A08">
        <w:rPr>
          <w:rFonts w:ascii="Bookman Old Style" w:hAnsi="Bookman Old Style" w:cs="Verdana"/>
          <w:sz w:val="22"/>
          <w:szCs w:val="22"/>
        </w:rPr>
        <w:t xml:space="preserve"> </w:t>
      </w:r>
      <w:r w:rsidRPr="006E7C93">
        <w:rPr>
          <w:rFonts w:ascii="Bookman Old Style" w:hAnsi="Bookman Old Style" w:cs="Verdana"/>
          <w:sz w:val="22"/>
          <w:szCs w:val="22"/>
        </w:rPr>
        <w:t>escluso dal</w:t>
      </w:r>
      <w:r w:rsidR="007E0F22" w:rsidRPr="006E7C93">
        <w:rPr>
          <w:rFonts w:ascii="Bookman Old Style" w:hAnsi="Bookman Old Style" w:cs="Verdana"/>
          <w:sz w:val="22"/>
          <w:szCs w:val="22"/>
        </w:rPr>
        <w:t xml:space="preserve"> rispetto del </w:t>
      </w:r>
      <w:r w:rsidRPr="006E7C93">
        <w:rPr>
          <w:rFonts w:ascii="Bookman Old Style" w:hAnsi="Bookman Old Style" w:cs="Verdana"/>
          <w:sz w:val="22"/>
          <w:szCs w:val="22"/>
        </w:rPr>
        <w:t xml:space="preserve">limite di spesa posto dall’art. 9, comma 2-bis, del d.l. n. 78/2010, tutti quei compensi per prestazioni professionali specialistiche offerte da soggetti qualificati, tra </w:t>
      </w:r>
      <w:r w:rsidR="00B13A08">
        <w:rPr>
          <w:rFonts w:ascii="Bookman Old Style" w:hAnsi="Bookman Old Style" w:cs="Verdana"/>
          <w:sz w:val="22"/>
          <w:szCs w:val="22"/>
        </w:rPr>
        <w:t>i quali</w:t>
      </w:r>
      <w:r w:rsidRPr="006E7C93">
        <w:rPr>
          <w:rFonts w:ascii="Bookman Old Style" w:hAnsi="Bookman Old Style" w:cs="Verdana"/>
          <w:sz w:val="22"/>
          <w:szCs w:val="22"/>
        </w:rPr>
        <w:t xml:space="preserve"> l’incentivo per la progettazione ex art. 93, comma 7-ter, </w:t>
      </w:r>
      <w:r w:rsidR="00B13A08">
        <w:rPr>
          <w:rFonts w:ascii="Bookman Old Style" w:hAnsi="Bookman Old Style" w:cs="Verdana"/>
          <w:sz w:val="22"/>
          <w:szCs w:val="22"/>
        </w:rPr>
        <w:t xml:space="preserve">del </w:t>
      </w:r>
      <w:r w:rsidRPr="006E7C93">
        <w:rPr>
          <w:rFonts w:ascii="Bookman Old Style" w:hAnsi="Bookman Old Style" w:cs="Verdana"/>
          <w:sz w:val="22"/>
          <w:szCs w:val="22"/>
        </w:rPr>
        <w:t>d.lgs. n. 163/2006.</w:t>
      </w:r>
    </w:p>
    <w:p w14:paraId="1D4938B4" w14:textId="3EA21662" w:rsidR="007E0F22" w:rsidRPr="006E7C93" w:rsidRDefault="00404D11" w:rsidP="004E70AA">
      <w:pPr>
        <w:pStyle w:val="Corpotesto"/>
        <w:spacing w:line="480" w:lineRule="auto"/>
        <w:rPr>
          <w:rFonts w:ascii="Bookman Old Style" w:hAnsi="Bookman Old Style" w:cs="Verdana"/>
          <w:sz w:val="22"/>
          <w:szCs w:val="22"/>
        </w:rPr>
      </w:pPr>
      <w:r>
        <w:rPr>
          <w:rFonts w:ascii="Bookman Old Style" w:hAnsi="Bookman Old Style" w:cs="Verdana"/>
          <w:sz w:val="22"/>
          <w:szCs w:val="22"/>
        </w:rPr>
        <w:t>L</w:t>
      </w:r>
      <w:r w:rsidR="007E0F22" w:rsidRPr="006E7C93">
        <w:rPr>
          <w:rFonts w:ascii="Bookman Old Style" w:hAnsi="Bookman Old Style" w:cs="Verdana"/>
          <w:sz w:val="22"/>
          <w:szCs w:val="22"/>
        </w:rPr>
        <w:t>a giurisprudenza contabile aveva</w:t>
      </w:r>
      <w:r>
        <w:rPr>
          <w:rFonts w:ascii="Bookman Old Style" w:hAnsi="Bookman Old Style" w:cs="Verdana"/>
          <w:sz w:val="22"/>
          <w:szCs w:val="22"/>
        </w:rPr>
        <w:t>, pertanto,</w:t>
      </w:r>
      <w:r w:rsidR="007E0F22" w:rsidRPr="006E7C93">
        <w:rPr>
          <w:rFonts w:ascii="Bookman Old Style" w:hAnsi="Bookman Old Style" w:cs="Verdana"/>
          <w:sz w:val="22"/>
          <w:szCs w:val="22"/>
        </w:rPr>
        <w:t xml:space="preserve"> escluso gli incentivi previsti dal vecchio codice degli appalti dal computo rilevante ai fini del rispetto di entrambi i tetti di spesa sopra </w:t>
      </w:r>
      <w:r>
        <w:rPr>
          <w:rFonts w:ascii="Bookman Old Style" w:hAnsi="Bookman Old Style" w:cs="Verdana"/>
          <w:sz w:val="22"/>
          <w:szCs w:val="22"/>
        </w:rPr>
        <w:t>menziona</w:t>
      </w:r>
      <w:r w:rsidR="007E0F22" w:rsidRPr="006E7C93">
        <w:rPr>
          <w:rFonts w:ascii="Bookman Old Style" w:hAnsi="Bookman Old Style" w:cs="Verdana"/>
          <w:sz w:val="22"/>
          <w:szCs w:val="22"/>
        </w:rPr>
        <w:t>ti.</w:t>
      </w:r>
    </w:p>
    <w:p w14:paraId="1D11132E" w14:textId="5F405ABA" w:rsidR="007E0F22" w:rsidRPr="006E7C93" w:rsidRDefault="007E0F22" w:rsidP="004E70AA">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Se </w:t>
      </w:r>
      <w:r w:rsidR="00404D11">
        <w:rPr>
          <w:rFonts w:ascii="Bookman Old Style" w:hAnsi="Bookman Old Style" w:cs="Verdana"/>
          <w:sz w:val="22"/>
          <w:szCs w:val="22"/>
        </w:rPr>
        <w:t>tale</w:t>
      </w:r>
      <w:r w:rsidRPr="006E7C93">
        <w:rPr>
          <w:rFonts w:ascii="Bookman Old Style" w:hAnsi="Bookman Old Style" w:cs="Verdana"/>
          <w:sz w:val="22"/>
          <w:szCs w:val="22"/>
        </w:rPr>
        <w:t xml:space="preserve"> è il punto da cui partire per dare risposta al quesito odierno, occorre ponderare se la nuova formulazione normativa </w:t>
      </w:r>
      <w:r w:rsidR="00404D11">
        <w:rPr>
          <w:rFonts w:ascii="Bookman Old Style" w:hAnsi="Bookman Old Style" w:cs="Verdana"/>
          <w:sz w:val="22"/>
          <w:szCs w:val="22"/>
        </w:rPr>
        <w:t xml:space="preserve">utilizzata </w:t>
      </w:r>
      <w:r w:rsidRPr="006E7C93">
        <w:rPr>
          <w:rFonts w:ascii="Bookman Old Style" w:hAnsi="Bookman Old Style" w:cs="Verdana"/>
          <w:sz w:val="22"/>
          <w:szCs w:val="22"/>
        </w:rPr>
        <w:t xml:space="preserve">in materia di incentivi </w:t>
      </w:r>
      <w:r w:rsidRPr="006E7C93">
        <w:rPr>
          <w:rFonts w:ascii="Bookman Old Style" w:hAnsi="Bookman Old Style" w:cs="Verdana"/>
          <w:sz w:val="22"/>
          <w:szCs w:val="22"/>
        </w:rPr>
        <w:lastRenderedPageBreak/>
        <w:t xml:space="preserve">“tecnici”, nell’ambito del </w:t>
      </w:r>
      <w:r w:rsidR="00AF6749" w:rsidRPr="006E7C93">
        <w:rPr>
          <w:rFonts w:ascii="Bookman Old Style" w:hAnsi="Bookman Old Style" w:cs="Verdana"/>
          <w:sz w:val="22"/>
          <w:szCs w:val="22"/>
        </w:rPr>
        <w:t xml:space="preserve">nuovo </w:t>
      </w:r>
      <w:r w:rsidRPr="006E7C93">
        <w:rPr>
          <w:rFonts w:ascii="Bookman Old Style" w:hAnsi="Bookman Old Style" w:cs="Verdana"/>
          <w:sz w:val="22"/>
          <w:szCs w:val="22"/>
        </w:rPr>
        <w:t xml:space="preserve">codice dei contratti, possa giustificare una diversa soluzione rispetto a quanto </w:t>
      </w:r>
      <w:r w:rsidR="00404D11">
        <w:rPr>
          <w:rFonts w:ascii="Bookman Old Style" w:hAnsi="Bookman Old Style" w:cs="Verdana"/>
          <w:sz w:val="22"/>
          <w:szCs w:val="22"/>
        </w:rPr>
        <w:t xml:space="preserve">già </w:t>
      </w:r>
      <w:r w:rsidRPr="006E7C93">
        <w:rPr>
          <w:rFonts w:ascii="Bookman Old Style" w:hAnsi="Bookman Old Style" w:cs="Verdana"/>
          <w:sz w:val="22"/>
          <w:szCs w:val="22"/>
        </w:rPr>
        <w:t>statuito dai giudici contabili.</w:t>
      </w:r>
    </w:p>
    <w:p w14:paraId="3319919F" w14:textId="799E5703" w:rsidR="00FE206E" w:rsidRPr="006E7C93" w:rsidRDefault="007E0F22" w:rsidP="00FE206E">
      <w:pPr>
        <w:pStyle w:val="Corpotesto"/>
        <w:spacing w:line="480" w:lineRule="auto"/>
        <w:rPr>
          <w:rFonts w:ascii="Bookman Old Style" w:hAnsi="Bookman Old Style" w:cs="Verdana"/>
          <w:iCs/>
          <w:sz w:val="22"/>
          <w:szCs w:val="22"/>
        </w:rPr>
      </w:pPr>
      <w:r w:rsidRPr="006E7C93">
        <w:rPr>
          <w:rFonts w:ascii="Bookman Old Style" w:hAnsi="Bookman Old Style" w:cs="Verdana"/>
          <w:sz w:val="22"/>
          <w:szCs w:val="22"/>
        </w:rPr>
        <w:t xml:space="preserve">A parere di questa Sezione vi sono </w:t>
      </w:r>
      <w:r w:rsidR="004133A7">
        <w:rPr>
          <w:rFonts w:ascii="Bookman Old Style" w:hAnsi="Bookman Old Style" w:cs="Verdana"/>
          <w:sz w:val="22"/>
          <w:szCs w:val="22"/>
        </w:rPr>
        <w:t>plurim</w:t>
      </w:r>
      <w:r w:rsidRPr="006E7C93">
        <w:rPr>
          <w:rFonts w:ascii="Bookman Old Style" w:hAnsi="Bookman Old Style" w:cs="Verdana"/>
          <w:sz w:val="22"/>
          <w:szCs w:val="22"/>
        </w:rPr>
        <w:t xml:space="preserve">i elementi interpretativi che fanno propendere </w:t>
      </w:r>
      <w:r w:rsidR="00AF6749" w:rsidRPr="006E7C93">
        <w:rPr>
          <w:rFonts w:ascii="Bookman Old Style" w:hAnsi="Bookman Old Style" w:cs="Verdana"/>
          <w:sz w:val="22"/>
          <w:szCs w:val="22"/>
        </w:rPr>
        <w:t>per</w:t>
      </w:r>
      <w:r w:rsidRPr="006E7C93">
        <w:rPr>
          <w:rFonts w:ascii="Bookman Old Style" w:hAnsi="Bookman Old Style" w:cs="Verdana"/>
          <w:sz w:val="22"/>
          <w:szCs w:val="22"/>
        </w:rPr>
        <w:t xml:space="preserve"> una </w:t>
      </w:r>
      <w:r w:rsidR="00FE206E" w:rsidRPr="006E7C93">
        <w:rPr>
          <w:rFonts w:ascii="Bookman Old Style" w:hAnsi="Bookman Old Style" w:cs="Verdana"/>
          <w:sz w:val="22"/>
          <w:szCs w:val="22"/>
        </w:rPr>
        <w:t>conferma</w:t>
      </w:r>
      <w:r w:rsidRPr="006E7C93">
        <w:rPr>
          <w:rFonts w:ascii="Bookman Old Style" w:hAnsi="Bookman Old Style" w:cs="Verdana"/>
          <w:sz w:val="22"/>
          <w:szCs w:val="22"/>
        </w:rPr>
        <w:t xml:space="preserve"> dell’orientamento </w:t>
      </w:r>
      <w:r w:rsidR="004133A7">
        <w:rPr>
          <w:rFonts w:ascii="Bookman Old Style" w:hAnsi="Bookman Old Style" w:cs="Verdana"/>
          <w:sz w:val="22"/>
          <w:szCs w:val="22"/>
        </w:rPr>
        <w:t xml:space="preserve">giurisprudenziale formatosi </w:t>
      </w:r>
      <w:r w:rsidRPr="006E7C93">
        <w:rPr>
          <w:rFonts w:ascii="Bookman Old Style" w:hAnsi="Bookman Old Style" w:cs="Verdana"/>
          <w:sz w:val="22"/>
          <w:szCs w:val="22"/>
        </w:rPr>
        <w:t xml:space="preserve">sotto </w:t>
      </w:r>
      <w:r w:rsidR="004133A7">
        <w:rPr>
          <w:rFonts w:ascii="Bookman Old Style" w:hAnsi="Bookman Old Style" w:cs="Verdana"/>
          <w:sz w:val="22"/>
          <w:szCs w:val="22"/>
        </w:rPr>
        <w:t>la vigenza del</w:t>
      </w:r>
      <w:r w:rsidRPr="006E7C93">
        <w:rPr>
          <w:rFonts w:ascii="Bookman Old Style" w:hAnsi="Bookman Old Style" w:cs="Verdana"/>
          <w:sz w:val="22"/>
          <w:szCs w:val="22"/>
        </w:rPr>
        <w:t xml:space="preserve"> precedente quadro normativo, escludendo gli incentivi tecnici dal rispetto dei limiti di spesa sopra richia</w:t>
      </w:r>
      <w:r w:rsidR="00FE206E" w:rsidRPr="006E7C93">
        <w:rPr>
          <w:rFonts w:ascii="Bookman Old Style" w:hAnsi="Bookman Old Style" w:cs="Verdana"/>
          <w:sz w:val="22"/>
          <w:szCs w:val="22"/>
        </w:rPr>
        <w:t>mati e disciplinati dall’art. 1, comma 557</w:t>
      </w:r>
      <w:r w:rsidR="000446D0">
        <w:rPr>
          <w:rFonts w:ascii="Bookman Old Style" w:hAnsi="Bookman Old Style" w:cs="Verdana"/>
          <w:sz w:val="22"/>
          <w:szCs w:val="22"/>
        </w:rPr>
        <w:t>,</w:t>
      </w:r>
      <w:r w:rsidR="00FE206E" w:rsidRPr="006E7C93">
        <w:rPr>
          <w:rFonts w:ascii="Bookman Old Style" w:hAnsi="Bookman Old Style" w:cs="Verdana"/>
          <w:sz w:val="22"/>
          <w:szCs w:val="22"/>
        </w:rPr>
        <w:t xml:space="preserve"> della legge n. 296 del 2006 (come riformulato)</w:t>
      </w:r>
      <w:r w:rsidR="009B1AD9">
        <w:rPr>
          <w:rFonts w:ascii="Bookman Old Style" w:hAnsi="Bookman Old Style" w:cs="Verdana"/>
          <w:sz w:val="22"/>
          <w:szCs w:val="22"/>
        </w:rPr>
        <w:t>,</w:t>
      </w:r>
      <w:r w:rsidR="00FE206E" w:rsidRPr="006E7C93">
        <w:rPr>
          <w:rFonts w:ascii="Bookman Old Style" w:hAnsi="Bookman Old Style" w:cs="Verdana"/>
          <w:sz w:val="22"/>
          <w:szCs w:val="22"/>
        </w:rPr>
        <w:t xml:space="preserve"> nonché </w:t>
      </w:r>
      <w:r w:rsidR="00FE206E" w:rsidRPr="006E7C93">
        <w:rPr>
          <w:rFonts w:ascii="Bookman Old Style" w:hAnsi="Bookman Old Style" w:cs="Verdana"/>
          <w:iCs/>
          <w:sz w:val="22"/>
          <w:szCs w:val="22"/>
        </w:rPr>
        <w:t>dall’art. 1, comma 236, della legge n. 208/2015, che riproduce</w:t>
      </w:r>
      <w:r w:rsidR="00AF6749" w:rsidRPr="006E7C93">
        <w:rPr>
          <w:rFonts w:ascii="Bookman Old Style" w:hAnsi="Bookman Old Style" w:cs="Verdana"/>
          <w:iCs/>
          <w:sz w:val="22"/>
          <w:szCs w:val="22"/>
        </w:rPr>
        <w:t>,</w:t>
      </w:r>
      <w:r w:rsidR="00FE206E" w:rsidRPr="006E7C93">
        <w:rPr>
          <w:rFonts w:ascii="Bookman Old Style" w:hAnsi="Bookman Old Style" w:cs="Verdana"/>
          <w:iCs/>
          <w:sz w:val="22"/>
          <w:szCs w:val="22"/>
        </w:rPr>
        <w:t xml:space="preserve"> sostanzialmente</w:t>
      </w:r>
      <w:r w:rsidR="00AF6749" w:rsidRPr="006E7C93">
        <w:rPr>
          <w:rFonts w:ascii="Bookman Old Style" w:hAnsi="Bookman Old Style" w:cs="Verdana"/>
          <w:iCs/>
          <w:sz w:val="22"/>
          <w:szCs w:val="22"/>
        </w:rPr>
        <w:t>,</w:t>
      </w:r>
      <w:r w:rsidR="00FE206E" w:rsidRPr="006E7C93">
        <w:rPr>
          <w:rFonts w:ascii="Bookman Old Style" w:hAnsi="Bookman Old Style" w:cs="Verdana"/>
          <w:iCs/>
          <w:sz w:val="22"/>
          <w:szCs w:val="22"/>
        </w:rPr>
        <w:t xml:space="preserve"> il limite disposto dall’art. 9, comma 2 bis, fissando il tetto di spesa nell’ammontare del fondo </w:t>
      </w:r>
      <w:r w:rsidR="00AF6749" w:rsidRPr="006E7C93">
        <w:rPr>
          <w:rFonts w:ascii="Bookman Old Style" w:hAnsi="Bookman Old Style" w:cs="Verdana"/>
          <w:iCs/>
          <w:sz w:val="22"/>
          <w:szCs w:val="22"/>
        </w:rPr>
        <w:t xml:space="preserve">per il trattamento accessorio </w:t>
      </w:r>
      <w:r w:rsidR="00FE206E" w:rsidRPr="006E7C93">
        <w:rPr>
          <w:rFonts w:ascii="Bookman Old Style" w:hAnsi="Bookman Old Style" w:cs="Verdana"/>
          <w:iCs/>
          <w:sz w:val="22"/>
          <w:szCs w:val="22"/>
        </w:rPr>
        <w:t xml:space="preserve">determinato nell’esercizio finanziario 2015.  </w:t>
      </w:r>
    </w:p>
    <w:p w14:paraId="76F4464B" w14:textId="4012991D" w:rsidR="003B6AD0" w:rsidRPr="006E7C93" w:rsidRDefault="003C3448" w:rsidP="00733EB1">
      <w:pPr>
        <w:pStyle w:val="Corpotesto"/>
        <w:spacing w:line="480" w:lineRule="auto"/>
        <w:rPr>
          <w:rFonts w:ascii="Bookman Old Style" w:hAnsi="Bookman Old Style" w:cs="Verdana"/>
          <w:sz w:val="22"/>
          <w:szCs w:val="22"/>
        </w:rPr>
      </w:pPr>
      <w:r>
        <w:rPr>
          <w:rFonts w:ascii="Bookman Old Style" w:hAnsi="Bookman Old Style" w:cs="Verdana"/>
          <w:sz w:val="22"/>
          <w:szCs w:val="22"/>
        </w:rPr>
        <w:t>I</w:t>
      </w:r>
      <w:r w:rsidR="00AF6749" w:rsidRPr="006E7C93">
        <w:rPr>
          <w:rFonts w:ascii="Bookman Old Style" w:hAnsi="Bookman Old Style" w:cs="Verdana"/>
          <w:sz w:val="22"/>
          <w:szCs w:val="22"/>
        </w:rPr>
        <w:t>l Collegio</w:t>
      </w:r>
      <w:r>
        <w:rPr>
          <w:rFonts w:ascii="Bookman Old Style" w:hAnsi="Bookman Old Style" w:cs="Verdana"/>
          <w:sz w:val="22"/>
          <w:szCs w:val="22"/>
        </w:rPr>
        <w:t>, infatti,</w:t>
      </w:r>
      <w:r w:rsidR="00AF6749" w:rsidRPr="006E7C93">
        <w:rPr>
          <w:rFonts w:ascii="Bookman Old Style" w:hAnsi="Bookman Old Style" w:cs="Verdana"/>
          <w:sz w:val="22"/>
          <w:szCs w:val="22"/>
        </w:rPr>
        <w:t xml:space="preserve"> ritiene </w:t>
      </w:r>
      <w:r w:rsidR="009B1AD9">
        <w:rPr>
          <w:rFonts w:ascii="Bookman Old Style" w:hAnsi="Bookman Old Style" w:cs="Verdana"/>
          <w:sz w:val="22"/>
          <w:szCs w:val="22"/>
        </w:rPr>
        <w:t xml:space="preserve">si sia </w:t>
      </w:r>
      <w:r w:rsidR="00FE206E" w:rsidRPr="006E7C93">
        <w:rPr>
          <w:rFonts w:ascii="Bookman Old Style" w:hAnsi="Bookman Old Style" w:cs="Verdana"/>
          <w:sz w:val="22"/>
          <w:szCs w:val="22"/>
        </w:rPr>
        <w:t xml:space="preserve">in presenza non tanto di una nuova </w:t>
      </w:r>
      <w:r>
        <w:rPr>
          <w:rFonts w:ascii="Bookman Old Style" w:hAnsi="Bookman Old Style" w:cs="Verdana"/>
          <w:sz w:val="22"/>
          <w:szCs w:val="22"/>
        </w:rPr>
        <w:t>norma</w:t>
      </w:r>
      <w:r w:rsidR="00FE206E" w:rsidRPr="006E7C93">
        <w:rPr>
          <w:rFonts w:ascii="Bookman Old Style" w:hAnsi="Bookman Old Style" w:cs="Verdana"/>
          <w:sz w:val="22"/>
          <w:szCs w:val="22"/>
        </w:rPr>
        <w:t xml:space="preserve"> </w:t>
      </w:r>
      <w:r>
        <w:rPr>
          <w:rFonts w:ascii="Bookman Old Style" w:hAnsi="Bookman Old Style" w:cs="Verdana"/>
          <w:sz w:val="22"/>
          <w:szCs w:val="22"/>
        </w:rPr>
        <w:t xml:space="preserve">in </w:t>
      </w:r>
      <w:r w:rsidR="00FE206E" w:rsidRPr="006E7C93">
        <w:rPr>
          <w:rFonts w:ascii="Bookman Old Style" w:hAnsi="Bookman Old Style" w:cs="Verdana"/>
          <w:sz w:val="22"/>
          <w:szCs w:val="22"/>
        </w:rPr>
        <w:t xml:space="preserve">materia </w:t>
      </w:r>
      <w:r>
        <w:rPr>
          <w:rFonts w:ascii="Bookman Old Style" w:hAnsi="Bookman Old Style" w:cs="Verdana"/>
          <w:sz w:val="22"/>
          <w:szCs w:val="22"/>
        </w:rPr>
        <w:t>di</w:t>
      </w:r>
      <w:r w:rsidR="00FE206E" w:rsidRPr="006E7C93">
        <w:rPr>
          <w:rFonts w:ascii="Bookman Old Style" w:hAnsi="Bookman Old Style" w:cs="Verdana"/>
          <w:sz w:val="22"/>
          <w:szCs w:val="22"/>
        </w:rPr>
        <w:t xml:space="preserve"> incentivi</w:t>
      </w:r>
      <w:r w:rsidR="009B1AD9">
        <w:rPr>
          <w:rFonts w:ascii="Bookman Old Style" w:hAnsi="Bookman Old Style" w:cs="Verdana"/>
          <w:sz w:val="22"/>
          <w:szCs w:val="22"/>
        </w:rPr>
        <w:t>,</w:t>
      </w:r>
      <w:r w:rsidR="00FE206E" w:rsidRPr="006E7C93">
        <w:rPr>
          <w:rFonts w:ascii="Bookman Old Style" w:hAnsi="Bookman Old Style" w:cs="Verdana"/>
          <w:sz w:val="22"/>
          <w:szCs w:val="22"/>
        </w:rPr>
        <w:t xml:space="preserve"> bensì di una </w:t>
      </w:r>
      <w:r w:rsidR="009B1AD9">
        <w:rPr>
          <w:rFonts w:ascii="Bookman Old Style" w:hAnsi="Bookman Old Style" w:cs="Verdana"/>
          <w:sz w:val="22"/>
          <w:szCs w:val="22"/>
        </w:rPr>
        <w:t>diversa</w:t>
      </w:r>
      <w:r w:rsidR="00FE206E" w:rsidRPr="006E7C93">
        <w:rPr>
          <w:rFonts w:ascii="Bookman Old Style" w:hAnsi="Bookman Old Style" w:cs="Verdana"/>
          <w:sz w:val="22"/>
          <w:szCs w:val="22"/>
        </w:rPr>
        <w:t xml:space="preserve"> </w:t>
      </w:r>
      <w:r>
        <w:rPr>
          <w:rFonts w:ascii="Bookman Old Style" w:hAnsi="Bookman Old Style" w:cs="Verdana"/>
          <w:sz w:val="22"/>
          <w:szCs w:val="22"/>
        </w:rPr>
        <w:t xml:space="preserve">formulazione </w:t>
      </w:r>
      <w:r w:rsidR="009B1AD9">
        <w:rPr>
          <w:rFonts w:ascii="Bookman Old Style" w:hAnsi="Bookman Old Style" w:cs="Verdana"/>
          <w:sz w:val="22"/>
          <w:szCs w:val="22"/>
        </w:rPr>
        <w:t xml:space="preserve">volta a </w:t>
      </w:r>
      <w:r w:rsidR="00FE206E" w:rsidRPr="006E7C93">
        <w:rPr>
          <w:rFonts w:ascii="Bookman Old Style" w:hAnsi="Bookman Old Style" w:cs="Verdana"/>
          <w:sz w:val="22"/>
          <w:szCs w:val="22"/>
        </w:rPr>
        <w:t>regola</w:t>
      </w:r>
      <w:r w:rsidR="009B1AD9">
        <w:rPr>
          <w:rFonts w:ascii="Bookman Old Style" w:hAnsi="Bookman Old Style" w:cs="Verdana"/>
          <w:sz w:val="22"/>
          <w:szCs w:val="22"/>
        </w:rPr>
        <w:t>re</w:t>
      </w:r>
      <w:r w:rsidR="00FE206E" w:rsidRPr="006E7C93">
        <w:rPr>
          <w:rFonts w:ascii="Bookman Old Style" w:hAnsi="Bookman Old Style" w:cs="Verdana"/>
          <w:sz w:val="22"/>
          <w:szCs w:val="22"/>
        </w:rPr>
        <w:t xml:space="preserve"> in modo d</w:t>
      </w:r>
      <w:r w:rsidR="00AF6749" w:rsidRPr="006E7C93">
        <w:rPr>
          <w:rFonts w:ascii="Bookman Old Style" w:hAnsi="Bookman Old Style" w:cs="Verdana"/>
          <w:sz w:val="22"/>
          <w:szCs w:val="22"/>
        </w:rPr>
        <w:t>ifferente e, a tratti, più ampi</w:t>
      </w:r>
      <w:r w:rsidR="00FE206E" w:rsidRPr="006E7C93">
        <w:rPr>
          <w:rFonts w:ascii="Bookman Old Style" w:hAnsi="Bookman Old Style" w:cs="Verdana"/>
          <w:sz w:val="22"/>
          <w:szCs w:val="22"/>
        </w:rPr>
        <w:t>, la materia degli incentivi previsti nell’ambito dei contratti pubblici.</w:t>
      </w:r>
    </w:p>
    <w:p w14:paraId="14399AAB" w14:textId="1A5EB2E6" w:rsidR="007237DF" w:rsidRPr="006E7C93" w:rsidRDefault="009B1AD9" w:rsidP="00733EB1">
      <w:pPr>
        <w:pStyle w:val="Corpotesto"/>
        <w:spacing w:line="480" w:lineRule="auto"/>
        <w:rPr>
          <w:rFonts w:ascii="Bookman Old Style" w:hAnsi="Bookman Old Style" w:cs="Verdana"/>
          <w:sz w:val="22"/>
          <w:szCs w:val="22"/>
        </w:rPr>
      </w:pPr>
      <w:r>
        <w:rPr>
          <w:rFonts w:ascii="Bookman Old Style" w:hAnsi="Bookman Old Style" w:cs="Verdana"/>
          <w:sz w:val="22"/>
          <w:szCs w:val="22"/>
        </w:rPr>
        <w:t>Al riguardo l</w:t>
      </w:r>
      <w:r w:rsidR="00AF6749" w:rsidRPr="006E7C93">
        <w:rPr>
          <w:rFonts w:ascii="Bookman Old Style" w:hAnsi="Bookman Old Style" w:cs="Verdana"/>
          <w:sz w:val="22"/>
          <w:szCs w:val="22"/>
        </w:rPr>
        <w:t xml:space="preserve">a Sezione prende atto che la Sezione delle Autonomie, con la </w:t>
      </w:r>
      <w:r w:rsidR="00A57B5A">
        <w:rPr>
          <w:rFonts w:ascii="Bookman Old Style" w:hAnsi="Bookman Old Style" w:cs="Verdana"/>
          <w:sz w:val="22"/>
          <w:szCs w:val="22"/>
        </w:rPr>
        <w:t xml:space="preserve">recente </w:t>
      </w:r>
      <w:r w:rsidR="00AF6749" w:rsidRPr="006E7C93">
        <w:rPr>
          <w:rFonts w:ascii="Bookman Old Style" w:hAnsi="Bookman Old Style" w:cs="Verdana"/>
          <w:sz w:val="22"/>
          <w:szCs w:val="22"/>
        </w:rPr>
        <w:t>delibera n. 7 del 6 aprile 2017, ha stabilito che gli incentivi per le funzioni tecniche rientrano nel tetto del fondo p</w:t>
      </w:r>
      <w:r w:rsidR="00D45072">
        <w:rPr>
          <w:rFonts w:ascii="Bookman Old Style" w:hAnsi="Bookman Old Style" w:cs="Verdana"/>
          <w:sz w:val="22"/>
          <w:szCs w:val="22"/>
        </w:rPr>
        <w:t>er la contrattazione decentrata</w:t>
      </w:r>
      <w:r w:rsidR="00AF6749" w:rsidRPr="006E7C93">
        <w:rPr>
          <w:rFonts w:ascii="Bookman Old Style" w:hAnsi="Bookman Old Style" w:cs="Verdana"/>
          <w:sz w:val="22"/>
          <w:szCs w:val="22"/>
        </w:rPr>
        <w:t xml:space="preserve"> </w:t>
      </w:r>
      <w:r w:rsidR="002D4D74">
        <w:rPr>
          <w:rFonts w:ascii="Bookman Old Style" w:hAnsi="Bookman Old Style" w:cs="Verdana"/>
          <w:sz w:val="22"/>
          <w:szCs w:val="22"/>
        </w:rPr>
        <w:t>(</w:t>
      </w:r>
      <w:r w:rsidR="00D45072">
        <w:rPr>
          <w:rFonts w:ascii="Bookman Old Style" w:hAnsi="Bookman Old Style" w:cs="Verdana"/>
          <w:sz w:val="22"/>
          <w:szCs w:val="22"/>
        </w:rPr>
        <w:t>“</w:t>
      </w:r>
      <w:r w:rsidR="00AF6749" w:rsidRPr="006E7C93">
        <w:rPr>
          <w:rFonts w:ascii="Bookman Old Style" w:hAnsi="Bookman Old Style" w:cs="Verdana"/>
          <w:i/>
          <w:sz w:val="22"/>
          <w:szCs w:val="22"/>
        </w:rPr>
        <w:t>Gli incentivi per funzioni tecniche di cui all</w:t>
      </w:r>
      <w:r w:rsidR="00AF6749" w:rsidRPr="006E7C93">
        <w:rPr>
          <w:rFonts w:ascii="Bookman Old Style" w:hAnsi="Bookman Old Style" w:cs="Bookman Old Style"/>
          <w:i/>
          <w:sz w:val="22"/>
          <w:szCs w:val="22"/>
        </w:rPr>
        <w:t>’</w:t>
      </w:r>
      <w:r w:rsidR="00AF6749" w:rsidRPr="006E7C93">
        <w:rPr>
          <w:rFonts w:ascii="Bookman Old Style" w:hAnsi="Bookman Old Style" w:cs="Verdana"/>
          <w:i/>
          <w:sz w:val="22"/>
          <w:szCs w:val="22"/>
        </w:rPr>
        <w:t>articolo 113, comma 2, d.lgs. n. 50/2016 sono da includere nel tetto dei trattamenti accessori di cui all’articolo 1, comma 236, l</w:t>
      </w:r>
      <w:r w:rsidR="002D4D74">
        <w:rPr>
          <w:rFonts w:ascii="Bookman Old Style" w:hAnsi="Bookman Old Style" w:cs="Verdana"/>
          <w:i/>
          <w:sz w:val="22"/>
          <w:szCs w:val="22"/>
        </w:rPr>
        <w:t>egge</w:t>
      </w:r>
      <w:r w:rsidR="00AF6749" w:rsidRPr="006E7C93">
        <w:rPr>
          <w:rFonts w:ascii="Bookman Old Style" w:hAnsi="Bookman Old Style" w:cs="Verdana"/>
          <w:i/>
          <w:sz w:val="22"/>
          <w:szCs w:val="22"/>
        </w:rPr>
        <w:t xml:space="preserve"> n. 208/2015</w:t>
      </w:r>
      <w:r w:rsidR="00D45072">
        <w:rPr>
          <w:rFonts w:ascii="Bookman Old Style" w:hAnsi="Bookman Old Style" w:cs="Verdana"/>
          <w:i/>
          <w:sz w:val="22"/>
          <w:szCs w:val="22"/>
        </w:rPr>
        <w:t>”</w:t>
      </w:r>
      <w:r w:rsidR="002D4D74">
        <w:rPr>
          <w:rFonts w:ascii="Bookman Old Style" w:hAnsi="Bookman Old Style" w:cs="Verdana"/>
          <w:i/>
          <w:sz w:val="22"/>
          <w:szCs w:val="22"/>
        </w:rPr>
        <w:t xml:space="preserve">) </w:t>
      </w:r>
      <w:r w:rsidR="002D4D74">
        <w:rPr>
          <w:rFonts w:ascii="Bookman Old Style" w:hAnsi="Bookman Old Style" w:cs="Verdana"/>
          <w:sz w:val="22"/>
          <w:szCs w:val="22"/>
        </w:rPr>
        <w:t xml:space="preserve">e </w:t>
      </w:r>
      <w:r w:rsidR="00A57B5A">
        <w:rPr>
          <w:rFonts w:ascii="Bookman Old Style" w:hAnsi="Bookman Old Style" w:cs="Verdana"/>
          <w:sz w:val="22"/>
          <w:szCs w:val="22"/>
        </w:rPr>
        <w:t>dell’ iter argomentativo</w:t>
      </w:r>
      <w:r w:rsidR="00AF6749" w:rsidRPr="006E7C93">
        <w:rPr>
          <w:rFonts w:ascii="Bookman Old Style" w:hAnsi="Bookman Old Style" w:cs="Verdana"/>
          <w:sz w:val="22"/>
          <w:szCs w:val="22"/>
        </w:rPr>
        <w:t xml:space="preserve"> che ha determinato la Sezione citata ad esprimersi in tal senso</w:t>
      </w:r>
      <w:r w:rsidR="002D4D74">
        <w:rPr>
          <w:rFonts w:ascii="Bookman Old Style" w:hAnsi="Bookman Old Style" w:cs="Verdana"/>
          <w:sz w:val="22"/>
          <w:szCs w:val="22"/>
        </w:rPr>
        <w:t>,</w:t>
      </w:r>
      <w:r w:rsidR="00AF6749" w:rsidRPr="006E7C93">
        <w:rPr>
          <w:rFonts w:ascii="Bookman Old Style" w:hAnsi="Bookman Old Style" w:cs="Verdana"/>
          <w:sz w:val="22"/>
          <w:szCs w:val="22"/>
        </w:rPr>
        <w:t xml:space="preserve"> </w:t>
      </w:r>
      <w:r w:rsidR="002D4D74">
        <w:rPr>
          <w:rFonts w:ascii="Bookman Old Style" w:hAnsi="Bookman Old Style" w:cs="Verdana"/>
          <w:sz w:val="22"/>
          <w:szCs w:val="22"/>
        </w:rPr>
        <w:t>che si procede di seguito a riportare</w:t>
      </w:r>
      <w:r w:rsidR="00AF6749" w:rsidRPr="006E7C93">
        <w:rPr>
          <w:rFonts w:ascii="Bookman Old Style" w:hAnsi="Bookman Old Style" w:cs="Verdana"/>
          <w:sz w:val="22"/>
          <w:szCs w:val="22"/>
        </w:rPr>
        <w:t xml:space="preserve">: </w:t>
      </w:r>
    </w:p>
    <w:p w14:paraId="00EF497F" w14:textId="2195D96B" w:rsidR="007237DF" w:rsidRPr="006E7C93" w:rsidRDefault="009D25CA" w:rsidP="009D25CA">
      <w:pPr>
        <w:pStyle w:val="Corpotesto"/>
        <w:spacing w:line="480" w:lineRule="auto"/>
        <w:ind w:left="567" w:hanging="425"/>
        <w:rPr>
          <w:rFonts w:ascii="Bookman Old Style" w:hAnsi="Bookman Old Style" w:cs="Verdana"/>
          <w:i/>
          <w:sz w:val="22"/>
          <w:szCs w:val="22"/>
        </w:rPr>
      </w:pPr>
      <w:r>
        <w:rPr>
          <w:rFonts w:ascii="Bookman Old Style" w:hAnsi="Bookman Old Style" w:cs="Verdana"/>
          <w:sz w:val="22"/>
          <w:szCs w:val="22"/>
        </w:rPr>
        <w:t>a</w:t>
      </w:r>
      <w:r w:rsidR="007237DF" w:rsidRPr="00347C63">
        <w:rPr>
          <w:rFonts w:ascii="Bookman Old Style" w:hAnsi="Bookman Old Style" w:cs="Verdana"/>
          <w:sz w:val="22"/>
          <w:szCs w:val="22"/>
        </w:rPr>
        <w:t>)</w:t>
      </w:r>
      <w:r w:rsidR="007237DF" w:rsidRPr="006E7C93">
        <w:rPr>
          <w:rFonts w:ascii="Bookman Old Style" w:hAnsi="Bookman Old Style" w:cs="Verdana"/>
          <w:i/>
          <w:sz w:val="22"/>
          <w:szCs w:val="22"/>
        </w:rPr>
        <w:t xml:space="preserve"> </w:t>
      </w:r>
      <w:r w:rsidR="00E457AD" w:rsidRPr="006E7C93">
        <w:rPr>
          <w:rFonts w:ascii="Bookman Old Style" w:hAnsi="Bookman Old Style" w:cs="Verdana"/>
          <w:i/>
          <w:sz w:val="22"/>
          <w:szCs w:val="22"/>
        </w:rPr>
        <w:t>“</w:t>
      </w:r>
      <w:r w:rsidR="00AF6749" w:rsidRPr="006E7C93">
        <w:rPr>
          <w:rFonts w:ascii="Bookman Old Style" w:hAnsi="Bookman Old Style" w:cs="Verdana"/>
          <w:i/>
          <w:sz w:val="22"/>
          <w:szCs w:val="22"/>
        </w:rPr>
        <w:t>la incentivazione delle funzioni tecniche di cui al</w:t>
      </w:r>
      <w:r w:rsidR="003F4C3B">
        <w:rPr>
          <w:rFonts w:ascii="Bookman Old Style" w:hAnsi="Bookman Old Style" w:cs="Verdana"/>
          <w:i/>
          <w:sz w:val="22"/>
          <w:szCs w:val="22"/>
        </w:rPr>
        <w:t>l’articolo 113 del d.l</w:t>
      </w:r>
      <w:r w:rsidR="004D0514">
        <w:rPr>
          <w:rFonts w:ascii="Bookman Old Style" w:hAnsi="Bookman Old Style" w:cs="Verdana"/>
          <w:i/>
          <w:sz w:val="22"/>
          <w:szCs w:val="22"/>
        </w:rPr>
        <w:t>gs. n. 50/</w:t>
      </w:r>
      <w:r w:rsidR="00AF6749" w:rsidRPr="006E7C93">
        <w:rPr>
          <w:rFonts w:ascii="Bookman Old Style" w:hAnsi="Bookman Old Style" w:cs="Verdana"/>
          <w:i/>
          <w:sz w:val="22"/>
          <w:szCs w:val="22"/>
        </w:rPr>
        <w:t xml:space="preserve">2016 non </w:t>
      </w:r>
      <w:r w:rsidR="00E457AD" w:rsidRPr="006E7C93">
        <w:rPr>
          <w:rFonts w:ascii="Bookman Old Style" w:hAnsi="Bookman Old Style" w:cs="Verdana"/>
          <w:i/>
          <w:sz w:val="22"/>
          <w:szCs w:val="22"/>
        </w:rPr>
        <w:t>è</w:t>
      </w:r>
      <w:r w:rsidR="00AF6749" w:rsidRPr="006E7C93">
        <w:rPr>
          <w:rFonts w:ascii="Bookman Old Style" w:hAnsi="Bookman Old Style" w:cs="Verdana"/>
          <w:i/>
          <w:sz w:val="22"/>
          <w:szCs w:val="22"/>
        </w:rPr>
        <w:t xml:space="preserve"> sovrapponibile all’incentivo per la progettazione di cui all’art. 93, comma 7- bis, </w:t>
      </w:r>
      <w:r w:rsidR="002842F1">
        <w:rPr>
          <w:rFonts w:ascii="Bookman Old Style" w:hAnsi="Bookman Old Style" w:cs="Verdana"/>
          <w:i/>
          <w:sz w:val="22"/>
          <w:szCs w:val="22"/>
        </w:rPr>
        <w:t xml:space="preserve">del </w:t>
      </w:r>
      <w:r w:rsidR="00AF6749" w:rsidRPr="006E7C93">
        <w:rPr>
          <w:rFonts w:ascii="Bookman Old Style" w:hAnsi="Bookman Old Style" w:cs="Verdana"/>
          <w:i/>
          <w:sz w:val="22"/>
          <w:szCs w:val="22"/>
        </w:rPr>
        <w:t>d.lgs. n. 163/2006, oggi abrogato, in quan</w:t>
      </w:r>
      <w:r w:rsidR="007237DF" w:rsidRPr="006E7C93">
        <w:rPr>
          <w:rFonts w:ascii="Bookman Old Style" w:hAnsi="Bookman Old Style" w:cs="Verdana"/>
          <w:i/>
          <w:sz w:val="22"/>
          <w:szCs w:val="22"/>
        </w:rPr>
        <w:t>to la prima remunera</w:t>
      </w:r>
      <w:r w:rsidR="00AF6749" w:rsidRPr="006E7C93">
        <w:rPr>
          <w:rFonts w:ascii="Bookman Old Style" w:hAnsi="Bookman Old Style" w:cs="Verdana"/>
          <w:i/>
          <w:sz w:val="22"/>
          <w:szCs w:val="22"/>
        </w:rPr>
        <w:t xml:space="preserve"> specifiche e determinate attività di natura tecnica svolte dai dipendenti pubblici, tra cui quelle della programmazione, predisposizione e </w:t>
      </w:r>
      <w:r w:rsidR="00AF6749" w:rsidRPr="006E7C93">
        <w:rPr>
          <w:rFonts w:ascii="Bookman Old Style" w:hAnsi="Bookman Old Style" w:cs="Verdana"/>
          <w:i/>
          <w:sz w:val="22"/>
          <w:szCs w:val="22"/>
        </w:rPr>
        <w:lastRenderedPageBreak/>
        <w:t>controllo delle procedure di gara e dell’esecuzione del contratto escludendo l’applicazione degli incentivi alla progettazione”</w:t>
      </w:r>
      <w:r w:rsidR="00A57B5A">
        <w:rPr>
          <w:rFonts w:ascii="Bookman Old Style" w:hAnsi="Bookman Old Style" w:cs="Verdana"/>
          <w:i/>
          <w:sz w:val="22"/>
          <w:szCs w:val="22"/>
        </w:rPr>
        <w:t>;</w:t>
      </w:r>
    </w:p>
    <w:p w14:paraId="76E34987" w14:textId="3684E1DE" w:rsidR="00E457AD" w:rsidRPr="006E7C93" w:rsidRDefault="009D25CA" w:rsidP="009D25CA">
      <w:pPr>
        <w:pStyle w:val="Corpotesto"/>
        <w:spacing w:line="480" w:lineRule="auto"/>
        <w:ind w:left="567" w:hanging="425"/>
        <w:rPr>
          <w:rFonts w:ascii="Bookman Old Style" w:hAnsi="Bookman Old Style" w:cs="Verdana"/>
          <w:sz w:val="22"/>
          <w:szCs w:val="22"/>
        </w:rPr>
      </w:pPr>
      <w:r>
        <w:rPr>
          <w:rFonts w:ascii="Bookman Old Style" w:hAnsi="Bookman Old Style" w:cs="Verdana"/>
          <w:sz w:val="22"/>
          <w:szCs w:val="22"/>
        </w:rPr>
        <w:t>b</w:t>
      </w:r>
      <w:r w:rsidR="00AF6749" w:rsidRPr="006E7C93">
        <w:rPr>
          <w:rFonts w:ascii="Bookman Old Style" w:hAnsi="Bookman Old Style" w:cs="Verdana"/>
          <w:sz w:val="22"/>
          <w:szCs w:val="22"/>
        </w:rPr>
        <w:t>) “</w:t>
      </w:r>
      <w:r w:rsidR="00AF6749" w:rsidRPr="006E7C93">
        <w:rPr>
          <w:rFonts w:ascii="Bookman Old Style" w:hAnsi="Bookman Old Style" w:cs="Verdana"/>
          <w:i/>
          <w:sz w:val="22"/>
          <w:szCs w:val="22"/>
        </w:rPr>
        <w:t>nei nuovi incentivi non ricorrono gli elementi che consentano di qualificare la relativa spesa come finalizzata ad investimenti; il fatto che tali emolumenti siano erogabili, con carattere di generalità, anche per gli appalti di servizi e forniture comporta che gli stessi si configurino, in maniera inequivocabile, come spese di funzionamento e, dunque, come spese correnti (e di personale</w:t>
      </w:r>
      <w:r w:rsidR="00AF6749" w:rsidRPr="006E7C93">
        <w:rPr>
          <w:rFonts w:ascii="Bookman Old Style" w:hAnsi="Bookman Old Style" w:cs="Verdana"/>
          <w:sz w:val="22"/>
          <w:szCs w:val="22"/>
        </w:rPr>
        <w:t>)”;</w:t>
      </w:r>
    </w:p>
    <w:p w14:paraId="0888A952" w14:textId="38A9EEC9" w:rsidR="00E457AD" w:rsidRPr="006E7C93" w:rsidRDefault="009D25CA" w:rsidP="009D25CA">
      <w:pPr>
        <w:pStyle w:val="Corpotesto"/>
        <w:spacing w:line="480" w:lineRule="auto"/>
        <w:ind w:left="426" w:hanging="284"/>
        <w:rPr>
          <w:rFonts w:ascii="Bookman Old Style" w:hAnsi="Bookman Old Style" w:cs="Verdana"/>
          <w:sz w:val="22"/>
          <w:szCs w:val="22"/>
        </w:rPr>
      </w:pPr>
      <w:r>
        <w:rPr>
          <w:rFonts w:ascii="Bookman Old Style" w:hAnsi="Bookman Old Style" w:cs="Verdana"/>
          <w:sz w:val="22"/>
          <w:szCs w:val="22"/>
        </w:rPr>
        <w:t>c</w:t>
      </w:r>
      <w:r w:rsidR="00AF6749" w:rsidRPr="006E7C93">
        <w:rPr>
          <w:rFonts w:ascii="Bookman Old Style" w:hAnsi="Bookman Old Style" w:cs="Verdana"/>
          <w:sz w:val="22"/>
          <w:szCs w:val="22"/>
        </w:rPr>
        <w:t xml:space="preserve">) </w:t>
      </w:r>
      <w:r w:rsidR="00AF6749" w:rsidRPr="006E7C93">
        <w:rPr>
          <w:rFonts w:ascii="Bookman Old Style" w:hAnsi="Bookman Old Style" w:cs="Bookman Old Style"/>
          <w:sz w:val="22"/>
          <w:szCs w:val="22"/>
        </w:rPr>
        <w:t>“</w:t>
      </w:r>
      <w:r w:rsidR="00AF6749" w:rsidRPr="006E7C93">
        <w:rPr>
          <w:rFonts w:ascii="Bookman Old Style" w:hAnsi="Bookman Old Style" w:cs="Verdana"/>
          <w:i/>
          <w:sz w:val="22"/>
          <w:szCs w:val="22"/>
        </w:rPr>
        <w:t xml:space="preserve">non si ravvisano gli ulteriori presupposti delineati dalle </w:t>
      </w:r>
      <w:r w:rsidR="00020CA8">
        <w:rPr>
          <w:rFonts w:ascii="Bookman Old Style" w:hAnsi="Bookman Old Style" w:cs="Verdana"/>
          <w:i/>
          <w:sz w:val="22"/>
          <w:szCs w:val="22"/>
        </w:rPr>
        <w:t>Sezioni Riunite</w:t>
      </w:r>
      <w:r w:rsidR="00AF6749" w:rsidRPr="006E7C93">
        <w:rPr>
          <w:rFonts w:ascii="Bookman Old Style" w:hAnsi="Bookman Old Style" w:cs="Verdana"/>
          <w:i/>
          <w:sz w:val="22"/>
          <w:szCs w:val="22"/>
        </w:rPr>
        <w:t xml:space="preserve"> (nella richiamata delibera n. 51/2011), per escludere gli incentivi di cui trattasi dal limite del tetto di spesa per i trattamenti accessori del personale dipendente in quanto essi non vanno a remunerare prestazioni professionali tipiche di soggetti individuati e individuabili acquisibili anche attraverso il ricorso a personale esterno alla P.A.</w:t>
      </w:r>
      <w:r w:rsidR="00AF6749" w:rsidRPr="006E7C93">
        <w:rPr>
          <w:rFonts w:ascii="Bookman Old Style" w:hAnsi="Bookman Old Style" w:cs="Verdana"/>
          <w:sz w:val="22"/>
          <w:szCs w:val="22"/>
        </w:rPr>
        <w:t>”;</w:t>
      </w:r>
    </w:p>
    <w:p w14:paraId="7DD475BE" w14:textId="37DE7B51" w:rsidR="003B6AD0" w:rsidRDefault="009D25CA" w:rsidP="009D25CA">
      <w:pPr>
        <w:pStyle w:val="Corpotesto"/>
        <w:spacing w:line="480" w:lineRule="auto"/>
        <w:ind w:left="426" w:hanging="284"/>
        <w:rPr>
          <w:rFonts w:ascii="Bookman Old Style" w:hAnsi="Bookman Old Style" w:cs="Verdana"/>
          <w:i/>
          <w:sz w:val="22"/>
          <w:szCs w:val="22"/>
        </w:rPr>
      </w:pPr>
      <w:r>
        <w:rPr>
          <w:rFonts w:ascii="Bookman Old Style" w:hAnsi="Bookman Old Style" w:cs="Verdana"/>
          <w:sz w:val="22"/>
          <w:szCs w:val="22"/>
        </w:rPr>
        <w:t>d</w:t>
      </w:r>
      <w:r w:rsidR="00E457AD" w:rsidRPr="006E7C93">
        <w:rPr>
          <w:rFonts w:ascii="Bookman Old Style" w:hAnsi="Bookman Old Style" w:cs="Verdana"/>
          <w:sz w:val="22"/>
          <w:szCs w:val="22"/>
        </w:rPr>
        <w:t xml:space="preserve">) </w:t>
      </w:r>
      <w:r w:rsidR="00AF6749" w:rsidRPr="006E7C93">
        <w:rPr>
          <w:rFonts w:ascii="Bookman Old Style" w:hAnsi="Bookman Old Style" w:cs="Verdana"/>
          <w:sz w:val="22"/>
          <w:szCs w:val="22"/>
        </w:rPr>
        <w:t>“</w:t>
      </w:r>
      <w:r w:rsidR="00AF6749" w:rsidRPr="006E7C93">
        <w:rPr>
          <w:rFonts w:ascii="Bookman Old Style" w:hAnsi="Bookman Old Style" w:cs="Verdana"/>
          <w:i/>
          <w:sz w:val="22"/>
          <w:szCs w:val="22"/>
        </w:rPr>
        <w:t>evidente l’intento del legislatore di ampliare il novero dei beneficiari degli incentivi in esame, individuati nei profili, tecnici e non, del personale pubblico coinvolto nelle diverse fasi del procedimento di spesa, dalla programmazione (che nel nuovo codice dei contratti pubblici, all’art. 21, è resa obbligatoria anche per l’acquisto di beni e servizi) all’esecuzione del contratto. Al contempo, la citata disposizione richiama gli istituti della contrattazione decentrata, il che può essere inteso come una sottolineatura dell’applicazione dei limiti di spesa alle risorse decentrate</w:t>
      </w:r>
      <w:r w:rsidR="00A57B5A">
        <w:rPr>
          <w:rFonts w:ascii="Bookman Old Style" w:hAnsi="Bookman Old Style" w:cs="Verdana"/>
          <w:i/>
          <w:sz w:val="22"/>
          <w:szCs w:val="22"/>
        </w:rPr>
        <w:t>”.</w:t>
      </w:r>
    </w:p>
    <w:p w14:paraId="46D3680C" w14:textId="77777777" w:rsidR="003E18D9" w:rsidRPr="006E7C93" w:rsidRDefault="003E18D9" w:rsidP="003E18D9">
      <w:pPr>
        <w:pStyle w:val="Corpotesto"/>
        <w:rPr>
          <w:rFonts w:ascii="Bookman Old Style" w:hAnsi="Bookman Old Style" w:cs="Verdana"/>
          <w:i/>
          <w:sz w:val="22"/>
          <w:szCs w:val="22"/>
        </w:rPr>
      </w:pPr>
    </w:p>
    <w:p w14:paraId="5AB5FAC0" w14:textId="142DD269" w:rsidR="006A0C65" w:rsidRPr="006E7C93" w:rsidRDefault="00E457AD" w:rsidP="00733EB1">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Se questo Collegio </w:t>
      </w:r>
      <w:r w:rsidR="006A0C65" w:rsidRPr="006E7C93">
        <w:rPr>
          <w:rFonts w:ascii="Bookman Old Style" w:hAnsi="Bookman Old Style" w:cs="Verdana"/>
          <w:sz w:val="22"/>
          <w:szCs w:val="22"/>
        </w:rPr>
        <w:t>ritenesse di</w:t>
      </w:r>
      <w:r w:rsidRPr="006E7C93">
        <w:rPr>
          <w:rFonts w:ascii="Bookman Old Style" w:hAnsi="Bookman Old Style" w:cs="Verdana"/>
          <w:sz w:val="22"/>
          <w:szCs w:val="22"/>
        </w:rPr>
        <w:t xml:space="preserve"> condividere </w:t>
      </w:r>
      <w:r w:rsidR="00A57B5A">
        <w:rPr>
          <w:rFonts w:ascii="Bookman Old Style" w:hAnsi="Bookman Old Style" w:cs="Verdana"/>
          <w:sz w:val="22"/>
          <w:szCs w:val="22"/>
        </w:rPr>
        <w:t xml:space="preserve">l’iter argomentativo </w:t>
      </w:r>
      <w:r w:rsidRPr="006E7C93">
        <w:rPr>
          <w:rFonts w:ascii="Bookman Old Style" w:hAnsi="Bookman Old Style" w:cs="Verdana"/>
          <w:sz w:val="22"/>
          <w:szCs w:val="22"/>
        </w:rPr>
        <w:t xml:space="preserve"> sopra </w:t>
      </w:r>
      <w:r w:rsidR="00A57B5A">
        <w:rPr>
          <w:rFonts w:ascii="Bookman Old Style" w:hAnsi="Bookman Old Style" w:cs="Verdana"/>
          <w:sz w:val="22"/>
          <w:szCs w:val="22"/>
        </w:rPr>
        <w:t>illustrato</w:t>
      </w:r>
      <w:r w:rsidRPr="006E7C93">
        <w:rPr>
          <w:rFonts w:ascii="Bookman Old Style" w:hAnsi="Bookman Old Style" w:cs="Verdana"/>
          <w:sz w:val="22"/>
          <w:szCs w:val="22"/>
        </w:rPr>
        <w:t xml:space="preserve"> la risposta da dare al quesito posto dal Sindaco del Comune di Ceriale non potrebbe che essere opposto alla conclusio</w:t>
      </w:r>
      <w:r w:rsidR="00347C63">
        <w:rPr>
          <w:rFonts w:ascii="Bookman Old Style" w:hAnsi="Bookman Old Style" w:cs="Verdana"/>
          <w:sz w:val="22"/>
          <w:szCs w:val="22"/>
        </w:rPr>
        <w:t>ne att</w:t>
      </w:r>
      <w:r w:rsidR="001170A6">
        <w:rPr>
          <w:rFonts w:ascii="Bookman Old Style" w:hAnsi="Bookman Old Style" w:cs="Verdana"/>
          <w:sz w:val="22"/>
          <w:szCs w:val="22"/>
        </w:rPr>
        <w:t>esa e suggerita dall’e</w:t>
      </w:r>
      <w:r w:rsidR="00347C63">
        <w:rPr>
          <w:rFonts w:ascii="Bookman Old Style" w:hAnsi="Bookman Old Style" w:cs="Verdana"/>
          <w:sz w:val="22"/>
          <w:szCs w:val="22"/>
        </w:rPr>
        <w:t xml:space="preserve">nte, cosicché </w:t>
      </w:r>
      <w:r w:rsidRPr="006E7C93">
        <w:rPr>
          <w:rFonts w:ascii="Bookman Old Style" w:hAnsi="Bookman Old Style" w:cs="Verdana"/>
          <w:sz w:val="22"/>
          <w:szCs w:val="22"/>
        </w:rPr>
        <w:t xml:space="preserve">il fondo per gli incentivi tecnici di cui al nuovo codice dei contratti, </w:t>
      </w:r>
      <w:r w:rsidR="006A0C65" w:rsidRPr="006E7C93">
        <w:rPr>
          <w:rFonts w:ascii="Bookman Old Style" w:hAnsi="Bookman Old Style" w:cs="Verdana"/>
          <w:sz w:val="22"/>
          <w:szCs w:val="22"/>
        </w:rPr>
        <w:lastRenderedPageBreak/>
        <w:t>dovrebbe</w:t>
      </w:r>
      <w:r w:rsidRPr="006E7C93">
        <w:rPr>
          <w:rFonts w:ascii="Bookman Old Style" w:hAnsi="Bookman Old Style" w:cs="Verdana"/>
          <w:sz w:val="22"/>
          <w:szCs w:val="22"/>
        </w:rPr>
        <w:t xml:space="preserve"> essere</w:t>
      </w:r>
      <w:r w:rsidR="0051564C">
        <w:rPr>
          <w:rFonts w:ascii="Bookman Old Style" w:hAnsi="Bookman Old Style" w:cs="Verdana"/>
          <w:sz w:val="22"/>
          <w:szCs w:val="22"/>
        </w:rPr>
        <w:t>,</w:t>
      </w:r>
      <w:r w:rsidRPr="006E7C93">
        <w:rPr>
          <w:rFonts w:ascii="Bookman Old Style" w:hAnsi="Bookman Old Style" w:cs="Verdana"/>
          <w:sz w:val="22"/>
          <w:szCs w:val="22"/>
        </w:rPr>
        <w:t xml:space="preserve"> </w:t>
      </w:r>
      <w:r w:rsidR="00347C63">
        <w:rPr>
          <w:rFonts w:ascii="Bookman Old Style" w:hAnsi="Bookman Old Style" w:cs="Verdana"/>
          <w:sz w:val="22"/>
          <w:szCs w:val="22"/>
        </w:rPr>
        <w:t>conseguentemente</w:t>
      </w:r>
      <w:r w:rsidR="0051564C">
        <w:rPr>
          <w:rFonts w:ascii="Bookman Old Style" w:hAnsi="Bookman Old Style" w:cs="Verdana"/>
          <w:sz w:val="22"/>
          <w:szCs w:val="22"/>
        </w:rPr>
        <w:t>,</w:t>
      </w:r>
      <w:r w:rsidR="00347C63">
        <w:rPr>
          <w:rFonts w:ascii="Bookman Old Style" w:hAnsi="Bookman Old Style" w:cs="Verdana"/>
          <w:sz w:val="22"/>
          <w:szCs w:val="22"/>
        </w:rPr>
        <w:t xml:space="preserve"> </w:t>
      </w:r>
      <w:r w:rsidRPr="006E7C93">
        <w:rPr>
          <w:rFonts w:ascii="Bookman Old Style" w:hAnsi="Bookman Old Style" w:cs="Verdana"/>
          <w:sz w:val="22"/>
          <w:szCs w:val="22"/>
        </w:rPr>
        <w:t>ricompreso nel computo rilevante ai fini del rispetto dei limiti indicati dall’art. 1, comma 557</w:t>
      </w:r>
      <w:r w:rsidR="003C3448">
        <w:rPr>
          <w:rFonts w:ascii="Bookman Old Style" w:hAnsi="Bookman Old Style" w:cs="Verdana"/>
          <w:sz w:val="22"/>
          <w:szCs w:val="22"/>
        </w:rPr>
        <w:t>,</w:t>
      </w:r>
      <w:r w:rsidRPr="006E7C93">
        <w:rPr>
          <w:rFonts w:ascii="Bookman Old Style" w:hAnsi="Bookman Old Style" w:cs="Verdana"/>
          <w:sz w:val="22"/>
          <w:szCs w:val="22"/>
        </w:rPr>
        <w:t xml:space="preserve"> della legge n. 296 del 2006 (media del triennio 2011/2013).</w:t>
      </w:r>
    </w:p>
    <w:p w14:paraId="126173FD" w14:textId="3BAA2835" w:rsidR="00641EBB" w:rsidRPr="006E7C93" w:rsidRDefault="006A0C65" w:rsidP="00733EB1">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Ritenere gli incentivi tecnici privi di una </w:t>
      </w:r>
      <w:r w:rsidR="0051564C">
        <w:rPr>
          <w:rFonts w:ascii="Bookman Old Style" w:hAnsi="Bookman Old Style" w:cs="Verdana"/>
          <w:sz w:val="22"/>
          <w:szCs w:val="22"/>
        </w:rPr>
        <w:t xml:space="preserve">loro </w:t>
      </w:r>
      <w:r w:rsidRPr="006E7C93">
        <w:rPr>
          <w:rFonts w:ascii="Bookman Old Style" w:hAnsi="Bookman Old Style" w:cs="Verdana"/>
          <w:sz w:val="22"/>
          <w:szCs w:val="22"/>
        </w:rPr>
        <w:t xml:space="preserve">specificità che li renda estranei alla disciplina generale concernente </w:t>
      </w:r>
      <w:r w:rsidR="00641EBB" w:rsidRPr="006E7C93">
        <w:rPr>
          <w:rFonts w:ascii="Bookman Old Style" w:hAnsi="Bookman Old Style" w:cs="Verdana"/>
          <w:sz w:val="22"/>
          <w:szCs w:val="22"/>
        </w:rPr>
        <w:t xml:space="preserve">il tetto alla spesa di personale, </w:t>
      </w:r>
      <w:r w:rsidR="0051564C">
        <w:rPr>
          <w:rFonts w:ascii="Bookman Old Style" w:hAnsi="Bookman Old Style" w:cs="Verdana"/>
          <w:sz w:val="22"/>
          <w:szCs w:val="22"/>
        </w:rPr>
        <w:t>condurrebbe</w:t>
      </w:r>
      <w:r w:rsidR="00641EBB" w:rsidRPr="006E7C93">
        <w:rPr>
          <w:rFonts w:ascii="Bookman Old Style" w:hAnsi="Bookman Old Style" w:cs="Verdana"/>
          <w:sz w:val="22"/>
          <w:szCs w:val="22"/>
        </w:rPr>
        <w:t xml:space="preserve"> ad accettare </w:t>
      </w:r>
      <w:r w:rsidR="00E457AD" w:rsidRPr="006E7C93">
        <w:rPr>
          <w:rFonts w:ascii="Bookman Old Style" w:hAnsi="Bookman Old Style" w:cs="Verdana"/>
          <w:sz w:val="22"/>
          <w:szCs w:val="22"/>
        </w:rPr>
        <w:t xml:space="preserve">l’interpretazione </w:t>
      </w:r>
      <w:r w:rsidR="00641EBB" w:rsidRPr="006E7C93">
        <w:rPr>
          <w:rFonts w:ascii="Bookman Old Style" w:hAnsi="Bookman Old Style" w:cs="Verdana"/>
          <w:sz w:val="22"/>
          <w:szCs w:val="22"/>
        </w:rPr>
        <w:t>sostenuta</w:t>
      </w:r>
      <w:r w:rsidR="00E457AD" w:rsidRPr="006E7C93">
        <w:rPr>
          <w:rFonts w:ascii="Bookman Old Style" w:hAnsi="Bookman Old Style" w:cs="Verdana"/>
          <w:sz w:val="22"/>
          <w:szCs w:val="22"/>
        </w:rPr>
        <w:t xml:space="preserve"> dalla Sezione delle Autonomie</w:t>
      </w:r>
      <w:r w:rsidR="0051564C">
        <w:rPr>
          <w:rFonts w:ascii="Bookman Old Style" w:hAnsi="Bookman Old Style" w:cs="Verdana"/>
          <w:sz w:val="22"/>
          <w:szCs w:val="22"/>
        </w:rPr>
        <w:t>,</w:t>
      </w:r>
      <w:r w:rsidR="00E457AD" w:rsidRPr="006E7C93">
        <w:rPr>
          <w:rFonts w:ascii="Bookman Old Style" w:hAnsi="Bookman Old Style" w:cs="Verdana"/>
          <w:sz w:val="22"/>
          <w:szCs w:val="22"/>
        </w:rPr>
        <w:t xml:space="preserve"> le </w:t>
      </w:r>
      <w:r w:rsidR="00641EBB" w:rsidRPr="006E7C93">
        <w:rPr>
          <w:rFonts w:ascii="Bookman Old Style" w:hAnsi="Bookman Old Style" w:cs="Verdana"/>
          <w:sz w:val="22"/>
          <w:szCs w:val="22"/>
        </w:rPr>
        <w:t xml:space="preserve">cui </w:t>
      </w:r>
      <w:r w:rsidR="00E457AD" w:rsidRPr="006E7C93">
        <w:rPr>
          <w:rFonts w:ascii="Bookman Old Style" w:hAnsi="Bookman Old Style" w:cs="Verdana"/>
          <w:sz w:val="22"/>
          <w:szCs w:val="22"/>
        </w:rPr>
        <w:t xml:space="preserve">conclusioni, pur riguardando il fondo per la contrattazione decentrata, </w:t>
      </w:r>
      <w:r w:rsidR="00CD7B62">
        <w:rPr>
          <w:rFonts w:ascii="Bookman Old Style" w:hAnsi="Bookman Old Style" w:cs="Verdana"/>
          <w:sz w:val="22"/>
          <w:szCs w:val="22"/>
        </w:rPr>
        <w:t xml:space="preserve">finirebbero per </w:t>
      </w:r>
      <w:r w:rsidR="00E457AD" w:rsidRPr="006E7C93">
        <w:rPr>
          <w:rFonts w:ascii="Bookman Old Style" w:hAnsi="Bookman Old Style" w:cs="Verdana"/>
          <w:sz w:val="22"/>
          <w:szCs w:val="22"/>
        </w:rPr>
        <w:t>attagli</w:t>
      </w:r>
      <w:r w:rsidR="00CD7B62">
        <w:rPr>
          <w:rFonts w:ascii="Bookman Old Style" w:hAnsi="Bookman Old Style" w:cs="Verdana"/>
          <w:sz w:val="22"/>
          <w:szCs w:val="22"/>
        </w:rPr>
        <w:t>arsi</w:t>
      </w:r>
      <w:r w:rsidR="00E457AD" w:rsidRPr="006E7C93">
        <w:rPr>
          <w:rFonts w:ascii="Bookman Old Style" w:hAnsi="Bookman Old Style" w:cs="Verdana"/>
          <w:sz w:val="22"/>
          <w:szCs w:val="22"/>
        </w:rPr>
        <w:t xml:space="preserve"> perfettamente anche alla fattispecie </w:t>
      </w:r>
      <w:r w:rsidR="00641EBB" w:rsidRPr="006E7C93">
        <w:rPr>
          <w:rFonts w:ascii="Bookman Old Style" w:hAnsi="Bookman Old Style" w:cs="Verdana"/>
          <w:sz w:val="22"/>
          <w:szCs w:val="22"/>
        </w:rPr>
        <w:t>in esame</w:t>
      </w:r>
      <w:r w:rsidR="00E457AD" w:rsidRPr="006E7C93">
        <w:rPr>
          <w:rFonts w:ascii="Bookman Old Style" w:hAnsi="Bookman Old Style" w:cs="Verdana"/>
          <w:sz w:val="22"/>
          <w:szCs w:val="22"/>
        </w:rPr>
        <w:t>.</w:t>
      </w:r>
    </w:p>
    <w:p w14:paraId="3FAB7B64" w14:textId="79D64FBF" w:rsidR="00E457AD" w:rsidRPr="006E7C93" w:rsidRDefault="00641EBB" w:rsidP="00733EB1">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Questo Collegio ritiene, </w:t>
      </w:r>
      <w:r w:rsidR="00844DCC">
        <w:rPr>
          <w:rFonts w:ascii="Bookman Old Style" w:hAnsi="Bookman Old Style" w:cs="Verdana"/>
          <w:sz w:val="22"/>
          <w:szCs w:val="22"/>
        </w:rPr>
        <w:t>tuttavia</w:t>
      </w:r>
      <w:r w:rsidRPr="006E7C93">
        <w:rPr>
          <w:rFonts w:ascii="Bookman Old Style" w:hAnsi="Bookman Old Style" w:cs="Verdana"/>
          <w:sz w:val="22"/>
          <w:szCs w:val="22"/>
        </w:rPr>
        <w:t xml:space="preserve">, che la </w:t>
      </w:r>
      <w:r w:rsidR="00A57B5A">
        <w:rPr>
          <w:rFonts w:ascii="Bookman Old Style" w:hAnsi="Bookman Old Style" w:cs="Verdana"/>
          <w:sz w:val="22"/>
          <w:szCs w:val="22"/>
        </w:rPr>
        <w:t>soluzione</w:t>
      </w:r>
      <w:r w:rsidRPr="006E7C93">
        <w:rPr>
          <w:rFonts w:ascii="Bookman Old Style" w:hAnsi="Bookman Old Style" w:cs="Verdana"/>
          <w:sz w:val="22"/>
          <w:szCs w:val="22"/>
        </w:rPr>
        <w:t xml:space="preserve"> accolta dalla </w:t>
      </w:r>
      <w:r w:rsidR="00844DCC">
        <w:rPr>
          <w:rFonts w:ascii="Bookman Old Style" w:hAnsi="Bookman Old Style" w:cs="Verdana"/>
          <w:sz w:val="22"/>
          <w:szCs w:val="22"/>
        </w:rPr>
        <w:t xml:space="preserve">suddetta </w:t>
      </w:r>
      <w:r w:rsidRPr="006E7C93">
        <w:rPr>
          <w:rFonts w:ascii="Bookman Old Style" w:hAnsi="Bookman Old Style" w:cs="Verdana"/>
          <w:sz w:val="22"/>
          <w:szCs w:val="22"/>
        </w:rPr>
        <w:t xml:space="preserve">Sezione </w:t>
      </w:r>
      <w:r w:rsidR="00844DCC">
        <w:rPr>
          <w:rFonts w:ascii="Bookman Old Style" w:hAnsi="Bookman Old Style" w:cs="Verdana"/>
          <w:sz w:val="22"/>
          <w:szCs w:val="22"/>
        </w:rPr>
        <w:t xml:space="preserve">centrale </w:t>
      </w:r>
      <w:r w:rsidRPr="006E7C93">
        <w:rPr>
          <w:rFonts w:ascii="Bookman Old Style" w:hAnsi="Bookman Old Style" w:cs="Verdana"/>
          <w:sz w:val="22"/>
          <w:szCs w:val="22"/>
        </w:rPr>
        <w:t>non sia sorretta da un convincente iter motivazionale e, soprattutto,</w:t>
      </w:r>
      <w:r w:rsidR="001325B4">
        <w:rPr>
          <w:rFonts w:ascii="Bookman Old Style" w:hAnsi="Bookman Old Style" w:cs="Verdana"/>
          <w:sz w:val="22"/>
          <w:szCs w:val="22"/>
        </w:rPr>
        <w:t xml:space="preserve"> che </w:t>
      </w:r>
      <w:r w:rsidR="003C3448">
        <w:rPr>
          <w:rFonts w:ascii="Bookman Old Style" w:hAnsi="Bookman Old Style" w:cs="Verdana"/>
          <w:sz w:val="22"/>
          <w:szCs w:val="22"/>
        </w:rPr>
        <w:t>possa dar</w:t>
      </w:r>
      <w:r w:rsidRPr="006E7C93">
        <w:rPr>
          <w:rFonts w:ascii="Bookman Old Style" w:hAnsi="Bookman Old Style" w:cs="Verdana"/>
          <w:sz w:val="22"/>
          <w:szCs w:val="22"/>
        </w:rPr>
        <w:t xml:space="preserve"> luogo ad incongruenze </w:t>
      </w:r>
      <w:r w:rsidR="003C3448">
        <w:rPr>
          <w:rFonts w:ascii="Bookman Old Style" w:hAnsi="Bookman Old Style" w:cs="Verdana"/>
          <w:sz w:val="22"/>
          <w:szCs w:val="22"/>
        </w:rPr>
        <w:t>tali da</w:t>
      </w:r>
      <w:r w:rsidRPr="006E7C93">
        <w:rPr>
          <w:rFonts w:ascii="Bookman Old Style" w:hAnsi="Bookman Old Style" w:cs="Verdana"/>
          <w:sz w:val="22"/>
          <w:szCs w:val="22"/>
        </w:rPr>
        <w:t xml:space="preserve"> determinare, da un</w:t>
      </w:r>
      <w:r w:rsidR="001325B4">
        <w:rPr>
          <w:rFonts w:ascii="Bookman Old Style" w:hAnsi="Bookman Old Style" w:cs="Verdana"/>
          <w:sz w:val="22"/>
          <w:szCs w:val="22"/>
        </w:rPr>
        <w:t xml:space="preserve"> lato</w:t>
      </w:r>
      <w:r w:rsidRPr="006E7C93">
        <w:rPr>
          <w:rFonts w:ascii="Bookman Old Style" w:hAnsi="Bookman Old Style" w:cs="Verdana"/>
          <w:sz w:val="22"/>
          <w:szCs w:val="22"/>
        </w:rPr>
        <w:t>, l’inapplicabilità della norma</w:t>
      </w:r>
      <w:r w:rsidR="003C3448">
        <w:rPr>
          <w:rFonts w:ascii="Bookman Old Style" w:hAnsi="Bookman Old Style" w:cs="Verdana"/>
          <w:sz w:val="22"/>
          <w:szCs w:val="22"/>
        </w:rPr>
        <w:t xml:space="preserve"> in determinate fattispecie </w:t>
      </w:r>
      <w:r w:rsidR="0010275E" w:rsidRPr="006E7C93">
        <w:rPr>
          <w:rFonts w:ascii="Bookman Old Style" w:hAnsi="Bookman Old Style" w:cs="Verdana"/>
          <w:sz w:val="22"/>
          <w:szCs w:val="22"/>
        </w:rPr>
        <w:t>e</w:t>
      </w:r>
      <w:r w:rsidR="004D0514">
        <w:rPr>
          <w:rFonts w:ascii="Bookman Old Style" w:hAnsi="Bookman Old Style" w:cs="Verdana"/>
          <w:sz w:val="22"/>
          <w:szCs w:val="22"/>
        </w:rPr>
        <w:t>,</w:t>
      </w:r>
      <w:r w:rsidR="001325B4">
        <w:rPr>
          <w:rFonts w:ascii="Bookman Old Style" w:hAnsi="Bookman Old Style" w:cs="Verdana"/>
          <w:sz w:val="22"/>
          <w:szCs w:val="22"/>
        </w:rPr>
        <w:t xml:space="preserve"> dall’altro</w:t>
      </w:r>
      <w:r w:rsidR="004D0514">
        <w:rPr>
          <w:rFonts w:ascii="Bookman Old Style" w:hAnsi="Bookman Old Style" w:cs="Verdana"/>
          <w:sz w:val="22"/>
          <w:szCs w:val="22"/>
        </w:rPr>
        <w:t>,</w:t>
      </w:r>
      <w:r w:rsidR="0010275E" w:rsidRPr="006E7C93">
        <w:rPr>
          <w:rFonts w:ascii="Bookman Old Style" w:hAnsi="Bookman Old Style" w:cs="Verdana"/>
          <w:sz w:val="22"/>
          <w:szCs w:val="22"/>
        </w:rPr>
        <w:t xml:space="preserve"> un possibile aumento della spesa di personale</w:t>
      </w:r>
      <w:r w:rsidR="001325B4">
        <w:rPr>
          <w:rFonts w:ascii="Bookman Old Style" w:hAnsi="Bookman Old Style" w:cs="Verdana"/>
          <w:sz w:val="22"/>
          <w:szCs w:val="22"/>
        </w:rPr>
        <w:t>,</w:t>
      </w:r>
      <w:r w:rsidR="0010275E" w:rsidRPr="006E7C93">
        <w:rPr>
          <w:rFonts w:ascii="Bookman Old Style" w:hAnsi="Bookman Old Style" w:cs="Verdana"/>
          <w:sz w:val="22"/>
          <w:szCs w:val="22"/>
        </w:rPr>
        <w:t xml:space="preserve"> </w:t>
      </w:r>
      <w:r w:rsidR="003F4C3B">
        <w:rPr>
          <w:rFonts w:ascii="Bookman Old Style" w:hAnsi="Bookman Old Style" w:cs="Verdana"/>
          <w:sz w:val="22"/>
          <w:szCs w:val="22"/>
        </w:rPr>
        <w:t>realizzando</w:t>
      </w:r>
      <w:r w:rsidR="0010275E" w:rsidRPr="006E7C93">
        <w:rPr>
          <w:rFonts w:ascii="Bookman Old Style" w:hAnsi="Bookman Old Style" w:cs="Verdana"/>
          <w:sz w:val="22"/>
          <w:szCs w:val="22"/>
        </w:rPr>
        <w:t xml:space="preserve">, in tal modo, una finalità opposta </w:t>
      </w:r>
      <w:r w:rsidR="001325B4">
        <w:rPr>
          <w:rFonts w:ascii="Bookman Old Style" w:hAnsi="Bookman Old Style" w:cs="Verdana"/>
          <w:sz w:val="22"/>
          <w:szCs w:val="22"/>
        </w:rPr>
        <w:t xml:space="preserve">rispetto </w:t>
      </w:r>
      <w:r w:rsidR="0010275E" w:rsidRPr="006E7C93">
        <w:rPr>
          <w:rFonts w:ascii="Bookman Old Style" w:hAnsi="Bookman Old Style" w:cs="Verdana"/>
          <w:sz w:val="22"/>
          <w:szCs w:val="22"/>
        </w:rPr>
        <w:t xml:space="preserve">a quella perseguita dalla </w:t>
      </w:r>
      <w:r w:rsidR="001325B4">
        <w:rPr>
          <w:rFonts w:ascii="Bookman Old Style" w:hAnsi="Bookman Old Style" w:cs="Verdana"/>
          <w:sz w:val="22"/>
          <w:szCs w:val="22"/>
        </w:rPr>
        <w:t xml:space="preserve">medesima </w:t>
      </w:r>
      <w:r w:rsidR="0010275E" w:rsidRPr="006E7C93">
        <w:rPr>
          <w:rFonts w:ascii="Bookman Old Style" w:hAnsi="Bookman Old Style" w:cs="Verdana"/>
          <w:sz w:val="22"/>
          <w:szCs w:val="22"/>
        </w:rPr>
        <w:t>Sezione.</w:t>
      </w:r>
    </w:p>
    <w:p w14:paraId="30A973EF" w14:textId="1516368B" w:rsidR="008E2C63" w:rsidRPr="006E7C93" w:rsidRDefault="008E2C63" w:rsidP="008E2C63">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Le motivazioni addotte da quest’ultima per ricomprendere gli incentivi tecnici </w:t>
      </w:r>
      <w:r w:rsidR="001325B4">
        <w:rPr>
          <w:rFonts w:ascii="Bookman Old Style" w:hAnsi="Bookman Old Style" w:cs="Verdana"/>
          <w:sz w:val="22"/>
          <w:szCs w:val="22"/>
        </w:rPr>
        <w:t>nel tetto di spesa non appaiono, in</w:t>
      </w:r>
      <w:r w:rsidR="003A4B31">
        <w:rPr>
          <w:rFonts w:ascii="Bookman Old Style" w:hAnsi="Bookman Old Style" w:cs="Verdana"/>
          <w:sz w:val="22"/>
          <w:szCs w:val="22"/>
        </w:rPr>
        <w:t xml:space="preserve"> </w:t>
      </w:r>
      <w:r w:rsidR="001325B4">
        <w:rPr>
          <w:rFonts w:ascii="Bookman Old Style" w:hAnsi="Bookman Old Style" w:cs="Verdana"/>
          <w:sz w:val="22"/>
          <w:szCs w:val="22"/>
        </w:rPr>
        <w:t xml:space="preserve">vero, </w:t>
      </w:r>
      <w:r w:rsidRPr="006E7C93">
        <w:rPr>
          <w:rFonts w:ascii="Bookman Old Style" w:hAnsi="Bookman Old Style" w:cs="Verdana"/>
          <w:sz w:val="22"/>
          <w:szCs w:val="22"/>
        </w:rPr>
        <w:t>convincenti</w:t>
      </w:r>
      <w:r w:rsidR="001325B4">
        <w:rPr>
          <w:rFonts w:ascii="Bookman Old Style" w:hAnsi="Bookman Old Style" w:cs="Verdana"/>
          <w:sz w:val="22"/>
          <w:szCs w:val="22"/>
        </w:rPr>
        <w:t>,</w:t>
      </w:r>
      <w:r w:rsidRPr="006E7C93">
        <w:rPr>
          <w:rFonts w:ascii="Bookman Old Style" w:hAnsi="Bookman Old Style" w:cs="Verdana"/>
          <w:sz w:val="22"/>
          <w:szCs w:val="22"/>
        </w:rPr>
        <w:t xml:space="preserve"> sotto molteplici profili:</w:t>
      </w:r>
    </w:p>
    <w:p w14:paraId="6FD17209" w14:textId="08FFBC21" w:rsidR="008E2C63" w:rsidRPr="006E7C93" w:rsidRDefault="009D25CA" w:rsidP="009D25CA">
      <w:pPr>
        <w:pStyle w:val="Corpotesto"/>
        <w:spacing w:line="480" w:lineRule="auto"/>
        <w:ind w:left="709" w:hanging="425"/>
        <w:rPr>
          <w:rFonts w:ascii="Bookman Old Style" w:hAnsi="Bookman Old Style" w:cs="Verdana"/>
          <w:sz w:val="22"/>
          <w:szCs w:val="22"/>
        </w:rPr>
      </w:pPr>
      <w:r>
        <w:rPr>
          <w:rFonts w:ascii="Bookman Old Style" w:hAnsi="Bookman Old Style" w:cs="Verdana"/>
          <w:sz w:val="22"/>
          <w:szCs w:val="22"/>
        </w:rPr>
        <w:t>a1</w:t>
      </w:r>
      <w:r w:rsidR="008E2C63" w:rsidRPr="006E7C93">
        <w:rPr>
          <w:rFonts w:ascii="Bookman Old Style" w:hAnsi="Bookman Old Style" w:cs="Verdana"/>
          <w:sz w:val="22"/>
          <w:szCs w:val="22"/>
        </w:rPr>
        <w:t xml:space="preserve">) il mancato riferimento della norma agli incentivi per la progettazione </w:t>
      </w:r>
      <w:r w:rsidR="00D45DE9">
        <w:rPr>
          <w:rFonts w:ascii="Bookman Old Style" w:hAnsi="Bookman Old Style" w:cs="Verdana"/>
          <w:sz w:val="22"/>
          <w:szCs w:val="22"/>
        </w:rPr>
        <w:t>d</w:t>
      </w:r>
      <w:r w:rsidR="00A57B5A">
        <w:rPr>
          <w:rFonts w:ascii="Bookman Old Style" w:hAnsi="Bookman Old Style" w:cs="Verdana"/>
          <w:sz w:val="22"/>
          <w:szCs w:val="22"/>
        </w:rPr>
        <w:t xml:space="preserve">á </w:t>
      </w:r>
      <w:r w:rsidR="00D45DE9">
        <w:rPr>
          <w:rFonts w:ascii="Bookman Old Style" w:hAnsi="Bookman Old Style" w:cs="Verdana"/>
          <w:sz w:val="22"/>
          <w:szCs w:val="22"/>
        </w:rPr>
        <w:t>conto</w:t>
      </w:r>
      <w:r w:rsidR="008E2C63" w:rsidRPr="006E7C93">
        <w:rPr>
          <w:rFonts w:ascii="Bookman Old Style" w:hAnsi="Bookman Old Style" w:cs="Verdana"/>
          <w:sz w:val="22"/>
          <w:szCs w:val="22"/>
        </w:rPr>
        <w:t xml:space="preserve"> esclusivamente </w:t>
      </w:r>
      <w:r w:rsidR="00D45DE9">
        <w:rPr>
          <w:rFonts w:ascii="Bookman Old Style" w:hAnsi="Bookman Old Style" w:cs="Verdana"/>
          <w:sz w:val="22"/>
          <w:szCs w:val="22"/>
        </w:rPr>
        <w:t>dell</w:t>
      </w:r>
      <w:r w:rsidR="001725A5">
        <w:rPr>
          <w:rFonts w:ascii="Bookman Old Style" w:hAnsi="Bookman Old Style" w:cs="Verdana"/>
          <w:sz w:val="22"/>
          <w:szCs w:val="22"/>
        </w:rPr>
        <w:t>a</w:t>
      </w:r>
      <w:r w:rsidR="008E2C63" w:rsidRPr="006E7C93">
        <w:rPr>
          <w:rFonts w:ascii="Bookman Old Style" w:hAnsi="Bookman Old Style" w:cs="Verdana"/>
          <w:sz w:val="22"/>
          <w:szCs w:val="22"/>
        </w:rPr>
        <w:t xml:space="preserve"> diversità della norma attuale rispetto al quadro normativo precedente. Diversità che</w:t>
      </w:r>
      <w:r w:rsidR="00D45DE9">
        <w:rPr>
          <w:rFonts w:ascii="Bookman Old Style" w:hAnsi="Bookman Old Style" w:cs="Verdana"/>
          <w:sz w:val="22"/>
          <w:szCs w:val="22"/>
        </w:rPr>
        <w:t>,</w:t>
      </w:r>
      <w:r w:rsidR="008E2C63" w:rsidRPr="006E7C93">
        <w:rPr>
          <w:rFonts w:ascii="Bookman Old Style" w:hAnsi="Bookman Old Style" w:cs="Verdana"/>
          <w:sz w:val="22"/>
          <w:szCs w:val="22"/>
        </w:rPr>
        <w:t xml:space="preserve"> </w:t>
      </w:r>
      <w:r w:rsidR="00D45DE9">
        <w:rPr>
          <w:rFonts w:ascii="Bookman Old Style" w:hAnsi="Bookman Old Style" w:cs="Verdana"/>
          <w:sz w:val="22"/>
          <w:szCs w:val="22"/>
        </w:rPr>
        <w:t>di per sé,</w:t>
      </w:r>
      <w:r w:rsidR="008E2C63" w:rsidRPr="006E7C93">
        <w:rPr>
          <w:rFonts w:ascii="Bookman Old Style" w:hAnsi="Bookman Old Style" w:cs="Verdana"/>
          <w:sz w:val="22"/>
          <w:szCs w:val="22"/>
        </w:rPr>
        <w:t xml:space="preserve"> non può </w:t>
      </w:r>
      <w:r w:rsidR="004F092A">
        <w:rPr>
          <w:rFonts w:ascii="Bookman Old Style" w:hAnsi="Bookman Old Style" w:cs="Verdana"/>
          <w:sz w:val="22"/>
          <w:szCs w:val="22"/>
        </w:rPr>
        <w:t>fornire</w:t>
      </w:r>
      <w:r w:rsidR="008E2C63" w:rsidRPr="006E7C93">
        <w:rPr>
          <w:rFonts w:ascii="Bookman Old Style" w:hAnsi="Bookman Old Style" w:cs="Verdana"/>
          <w:sz w:val="22"/>
          <w:szCs w:val="22"/>
        </w:rPr>
        <w:t xml:space="preserve"> alcuna indicazione circa l’inclusione o meno nel tetto di spesa de</w:t>
      </w:r>
      <w:r w:rsidR="005A2D63" w:rsidRPr="006E7C93">
        <w:rPr>
          <w:rFonts w:ascii="Bookman Old Style" w:hAnsi="Bookman Old Style" w:cs="Verdana"/>
          <w:sz w:val="22"/>
          <w:szCs w:val="22"/>
        </w:rPr>
        <w:t>g</w:t>
      </w:r>
      <w:r w:rsidR="008E2C63" w:rsidRPr="006E7C93">
        <w:rPr>
          <w:rFonts w:ascii="Bookman Old Style" w:hAnsi="Bookman Old Style" w:cs="Verdana"/>
          <w:sz w:val="22"/>
          <w:szCs w:val="22"/>
        </w:rPr>
        <w:t>li incentivi</w:t>
      </w:r>
      <w:r w:rsidR="005A2D63" w:rsidRPr="006E7C93">
        <w:rPr>
          <w:rFonts w:ascii="Bookman Old Style" w:hAnsi="Bookman Old Style" w:cs="Verdana"/>
          <w:sz w:val="22"/>
          <w:szCs w:val="22"/>
        </w:rPr>
        <w:t xml:space="preserve"> tecnici</w:t>
      </w:r>
      <w:r w:rsidR="00622610">
        <w:rPr>
          <w:rFonts w:ascii="Bookman Old Style" w:hAnsi="Bookman Old Style" w:cs="Verdana"/>
          <w:sz w:val="22"/>
          <w:szCs w:val="22"/>
        </w:rPr>
        <w:t xml:space="preserve">, </w:t>
      </w:r>
      <w:r w:rsidR="001725A5">
        <w:rPr>
          <w:rFonts w:ascii="Bookman Old Style" w:hAnsi="Bookman Old Style" w:cs="Verdana"/>
          <w:sz w:val="22"/>
          <w:szCs w:val="22"/>
        </w:rPr>
        <w:t xml:space="preserve">ma </w:t>
      </w:r>
      <w:r w:rsidR="00622610">
        <w:rPr>
          <w:rFonts w:ascii="Bookman Old Style" w:hAnsi="Bookman Old Style" w:cs="Verdana"/>
          <w:sz w:val="22"/>
          <w:szCs w:val="22"/>
        </w:rPr>
        <w:t xml:space="preserve">che tutt’al </w:t>
      </w:r>
      <w:r w:rsidR="005A2D63" w:rsidRPr="006E7C93">
        <w:rPr>
          <w:rFonts w:ascii="Bookman Old Style" w:hAnsi="Bookman Old Style" w:cs="Verdana"/>
          <w:sz w:val="22"/>
          <w:szCs w:val="22"/>
        </w:rPr>
        <w:t xml:space="preserve">più dimostra come i “nuovi” incentivi vadano </w:t>
      </w:r>
      <w:r w:rsidR="00FC6872" w:rsidRPr="006E7C93">
        <w:rPr>
          <w:rFonts w:ascii="Bookman Old Style" w:hAnsi="Bookman Old Style" w:cs="Verdana"/>
          <w:sz w:val="22"/>
          <w:szCs w:val="22"/>
        </w:rPr>
        <w:t xml:space="preserve">visti </w:t>
      </w:r>
      <w:r w:rsidR="005A2D63" w:rsidRPr="006E7C93">
        <w:rPr>
          <w:rFonts w:ascii="Bookman Old Style" w:hAnsi="Bookman Old Style" w:cs="Verdana"/>
          <w:sz w:val="22"/>
          <w:szCs w:val="22"/>
        </w:rPr>
        <w:t>da una diversa angolazione</w:t>
      </w:r>
      <w:r w:rsidR="00622610">
        <w:rPr>
          <w:rFonts w:ascii="Bookman Old Style" w:hAnsi="Bookman Old Style" w:cs="Verdana"/>
          <w:sz w:val="22"/>
          <w:szCs w:val="22"/>
        </w:rPr>
        <w:t>,</w:t>
      </w:r>
      <w:r w:rsidR="005A2D63" w:rsidRPr="006E7C93">
        <w:rPr>
          <w:rFonts w:ascii="Bookman Old Style" w:hAnsi="Bookman Old Style" w:cs="Verdana"/>
          <w:sz w:val="22"/>
          <w:szCs w:val="22"/>
        </w:rPr>
        <w:t xml:space="preserve"> che si allontan</w:t>
      </w:r>
      <w:r w:rsidR="00622610">
        <w:rPr>
          <w:rFonts w:ascii="Bookman Old Style" w:hAnsi="Bookman Old Style" w:cs="Verdana"/>
          <w:sz w:val="22"/>
          <w:szCs w:val="22"/>
        </w:rPr>
        <w:t>a</w:t>
      </w:r>
      <w:r w:rsidR="005A2D63" w:rsidRPr="006E7C93">
        <w:rPr>
          <w:rFonts w:ascii="Bookman Old Style" w:hAnsi="Bookman Old Style" w:cs="Verdana"/>
          <w:sz w:val="22"/>
          <w:szCs w:val="22"/>
        </w:rPr>
        <w:t xml:space="preserve"> da</w:t>
      </w:r>
      <w:r w:rsidR="004D0514">
        <w:rPr>
          <w:rFonts w:ascii="Bookman Old Style" w:hAnsi="Bookman Old Style" w:cs="Verdana"/>
          <w:sz w:val="22"/>
          <w:szCs w:val="22"/>
        </w:rPr>
        <w:t>lle motivazioni richiamate dalle precedenti delibere</w:t>
      </w:r>
      <w:r w:rsidR="005A2D63" w:rsidRPr="006E7C93">
        <w:rPr>
          <w:rFonts w:ascii="Bookman Old Style" w:hAnsi="Bookman Old Style" w:cs="Verdana"/>
          <w:sz w:val="22"/>
          <w:szCs w:val="22"/>
        </w:rPr>
        <w:t xml:space="preserve"> </w:t>
      </w:r>
      <w:r w:rsidR="00622610">
        <w:rPr>
          <w:rFonts w:ascii="Bookman Old Style" w:hAnsi="Bookman Old Style" w:cs="Verdana"/>
          <w:sz w:val="22"/>
          <w:szCs w:val="22"/>
        </w:rPr>
        <w:t xml:space="preserve">tanto della </w:t>
      </w:r>
      <w:r w:rsidR="004D0514">
        <w:rPr>
          <w:rFonts w:ascii="Bookman Old Style" w:hAnsi="Bookman Old Style" w:cs="Verdana"/>
          <w:sz w:val="22"/>
          <w:szCs w:val="22"/>
        </w:rPr>
        <w:t>Sezione</w:t>
      </w:r>
      <w:r w:rsidR="00666478">
        <w:rPr>
          <w:rFonts w:ascii="Bookman Old Style" w:hAnsi="Bookman Old Style" w:cs="Verdana"/>
          <w:sz w:val="22"/>
          <w:szCs w:val="22"/>
        </w:rPr>
        <w:t xml:space="preserve"> delle </w:t>
      </w:r>
      <w:r w:rsidR="004D0514">
        <w:rPr>
          <w:rFonts w:ascii="Bookman Old Style" w:hAnsi="Bookman Old Style" w:cs="Verdana"/>
          <w:sz w:val="22"/>
          <w:szCs w:val="22"/>
        </w:rPr>
        <w:t>Autonomie del 2009</w:t>
      </w:r>
      <w:r w:rsidR="00622610">
        <w:rPr>
          <w:rFonts w:ascii="Bookman Old Style" w:hAnsi="Bookman Old Style" w:cs="Verdana"/>
          <w:sz w:val="22"/>
          <w:szCs w:val="22"/>
        </w:rPr>
        <w:t>, che delle</w:t>
      </w:r>
      <w:r w:rsidR="004D0514">
        <w:rPr>
          <w:rFonts w:ascii="Bookman Old Style" w:hAnsi="Bookman Old Style" w:cs="Verdana"/>
          <w:sz w:val="22"/>
          <w:szCs w:val="22"/>
        </w:rPr>
        <w:t xml:space="preserve"> </w:t>
      </w:r>
      <w:r w:rsidR="00020CA8">
        <w:rPr>
          <w:rFonts w:ascii="Bookman Old Style" w:hAnsi="Bookman Old Style" w:cs="Verdana"/>
          <w:sz w:val="22"/>
          <w:szCs w:val="22"/>
        </w:rPr>
        <w:t>Sezioni Riunite</w:t>
      </w:r>
      <w:r w:rsidR="004D0514">
        <w:rPr>
          <w:rFonts w:ascii="Bookman Old Style" w:hAnsi="Bookman Old Style" w:cs="Verdana"/>
          <w:sz w:val="22"/>
          <w:szCs w:val="22"/>
        </w:rPr>
        <w:t xml:space="preserve"> del 2011</w:t>
      </w:r>
      <w:r w:rsidR="00A57B5A">
        <w:rPr>
          <w:rFonts w:ascii="Bookman Old Style" w:hAnsi="Bookman Old Style" w:cs="Verdana"/>
          <w:sz w:val="22"/>
          <w:szCs w:val="22"/>
        </w:rPr>
        <w:t>;</w:t>
      </w:r>
    </w:p>
    <w:p w14:paraId="5110B7C8" w14:textId="14B6641D" w:rsidR="005140F9" w:rsidRPr="006E7C93" w:rsidRDefault="009D25CA" w:rsidP="009D25CA">
      <w:pPr>
        <w:pStyle w:val="Corpotesto"/>
        <w:spacing w:line="480" w:lineRule="auto"/>
        <w:ind w:left="709" w:hanging="425"/>
        <w:rPr>
          <w:rFonts w:ascii="Bookman Old Style" w:hAnsi="Bookman Old Style" w:cs="Verdana"/>
          <w:sz w:val="22"/>
          <w:szCs w:val="22"/>
        </w:rPr>
      </w:pPr>
      <w:r>
        <w:rPr>
          <w:rFonts w:ascii="Bookman Old Style" w:hAnsi="Bookman Old Style" w:cs="Verdana"/>
          <w:sz w:val="22"/>
          <w:szCs w:val="22"/>
        </w:rPr>
        <w:t>b</w:t>
      </w:r>
      <w:r w:rsidR="00202628" w:rsidRPr="00343ACB">
        <w:rPr>
          <w:rFonts w:ascii="Bookman Old Style" w:hAnsi="Bookman Old Style" w:cs="Verdana"/>
          <w:sz w:val="22"/>
          <w:szCs w:val="22"/>
        </w:rPr>
        <w:t>1</w:t>
      </w:r>
      <w:r w:rsidR="008E2C63" w:rsidRPr="006E7C93">
        <w:rPr>
          <w:rFonts w:ascii="Bookman Old Style" w:hAnsi="Bookman Old Style" w:cs="Verdana"/>
          <w:sz w:val="22"/>
          <w:szCs w:val="22"/>
        </w:rPr>
        <w:t xml:space="preserve">) </w:t>
      </w:r>
      <w:r>
        <w:rPr>
          <w:rFonts w:ascii="Bookman Old Style" w:hAnsi="Bookman Old Style" w:cs="Verdana"/>
          <w:sz w:val="22"/>
          <w:szCs w:val="22"/>
        </w:rPr>
        <w:t>è</w:t>
      </w:r>
      <w:r w:rsidR="005A2D63" w:rsidRPr="006E7C93">
        <w:rPr>
          <w:rFonts w:ascii="Bookman Old Style" w:hAnsi="Bookman Old Style" w:cs="Verdana"/>
          <w:sz w:val="22"/>
          <w:szCs w:val="22"/>
        </w:rPr>
        <w:t>’ indubbio, infatti, che se pur con una formulazione normativa infelice (</w:t>
      </w:r>
      <w:r w:rsidR="005140F9" w:rsidRPr="006E7C93">
        <w:rPr>
          <w:rFonts w:ascii="Bookman Old Style" w:hAnsi="Bookman Old Style" w:cs="Verdana"/>
          <w:sz w:val="22"/>
          <w:szCs w:val="22"/>
        </w:rPr>
        <w:t xml:space="preserve">nei primi due commi dell’art. 113 il riferimento è esclusivamente ai </w:t>
      </w:r>
      <w:r w:rsidR="005140F9" w:rsidRPr="006E7C93">
        <w:rPr>
          <w:rFonts w:ascii="Bookman Old Style" w:hAnsi="Bookman Old Style" w:cs="Verdana"/>
          <w:sz w:val="22"/>
          <w:szCs w:val="22"/>
        </w:rPr>
        <w:lastRenderedPageBreak/>
        <w:t>“lavori”)</w:t>
      </w:r>
      <w:r w:rsidR="00FF1E79">
        <w:rPr>
          <w:rFonts w:ascii="Bookman Old Style" w:hAnsi="Bookman Old Style" w:cs="Verdana"/>
          <w:sz w:val="22"/>
          <w:szCs w:val="22"/>
        </w:rPr>
        <w:t>,</w:t>
      </w:r>
      <w:r w:rsidR="005140F9" w:rsidRPr="006E7C93">
        <w:rPr>
          <w:rFonts w:ascii="Bookman Old Style" w:hAnsi="Bookman Old Style" w:cs="Verdana"/>
          <w:sz w:val="22"/>
          <w:szCs w:val="22"/>
        </w:rPr>
        <w:t xml:space="preserve"> l’attuale quadro normativo determina l’applicazione degli incentivi tecnici anche ai contratti riferiti a servizi e forniture, essendo in tal senso esp</w:t>
      </w:r>
      <w:r w:rsidR="004D0514">
        <w:rPr>
          <w:rFonts w:ascii="Bookman Old Style" w:hAnsi="Bookman Old Style" w:cs="Verdana"/>
          <w:sz w:val="22"/>
          <w:szCs w:val="22"/>
        </w:rPr>
        <w:t>licito il comma 3 dell’art. 113, il quale</w:t>
      </w:r>
      <w:r w:rsidR="005140F9" w:rsidRPr="006E7C93">
        <w:rPr>
          <w:rFonts w:ascii="Bookman Old Style" w:hAnsi="Bookman Old Style" w:cs="Verdana"/>
          <w:sz w:val="22"/>
          <w:szCs w:val="22"/>
        </w:rPr>
        <w:t xml:space="preserve"> </w:t>
      </w:r>
      <w:r w:rsidR="002D4AAC">
        <w:rPr>
          <w:rFonts w:ascii="Bookman Old Style" w:hAnsi="Bookman Old Style" w:cs="Verdana"/>
          <w:sz w:val="22"/>
          <w:szCs w:val="22"/>
        </w:rPr>
        <w:t>statuisce</w:t>
      </w:r>
      <w:r w:rsidR="005140F9" w:rsidRPr="006E7C93">
        <w:rPr>
          <w:rFonts w:ascii="Bookman Old Style" w:hAnsi="Bookman Old Style" w:cs="Verdana"/>
          <w:sz w:val="22"/>
          <w:szCs w:val="22"/>
        </w:rPr>
        <w:t xml:space="preserve"> </w:t>
      </w:r>
      <w:r w:rsidR="005140F9" w:rsidRPr="006E7C93">
        <w:rPr>
          <w:rFonts w:ascii="Times New Roman" w:hAnsi="Times New Roman"/>
        </w:rPr>
        <w:t xml:space="preserve">che </w:t>
      </w:r>
      <w:r w:rsidR="005140F9" w:rsidRPr="006E7C93">
        <w:rPr>
          <w:rFonts w:ascii="Bookman Old Style" w:hAnsi="Bookman Old Style" w:cs="Verdana"/>
          <w:sz w:val="22"/>
          <w:szCs w:val="22"/>
        </w:rPr>
        <w:t xml:space="preserve">l'80 per cento delle risorse finanziarie del fondo deve essere ripartito, oltre che per ciascuna opera o lavoro, anche per ciascun servizio e fornitura. </w:t>
      </w:r>
      <w:r w:rsidR="002D4AAC">
        <w:rPr>
          <w:rFonts w:ascii="Bookman Old Style" w:hAnsi="Bookman Old Style" w:cs="Verdana"/>
          <w:sz w:val="22"/>
          <w:szCs w:val="22"/>
        </w:rPr>
        <w:t>Va, tuttavia, evidenziato che, i</w:t>
      </w:r>
      <w:r w:rsidR="005140F9" w:rsidRPr="006E7C93">
        <w:rPr>
          <w:rFonts w:ascii="Bookman Old Style" w:hAnsi="Bookman Old Style" w:cs="Verdana"/>
          <w:sz w:val="22"/>
          <w:szCs w:val="22"/>
        </w:rPr>
        <w:t>n realtà, anche nei primi due commi si rinvengono espliciti riferimenti ai contratti diversi dai lavori</w:t>
      </w:r>
      <w:r w:rsidR="002D4AAC">
        <w:rPr>
          <w:rFonts w:ascii="Bookman Old Style" w:hAnsi="Bookman Old Style" w:cs="Verdana"/>
          <w:sz w:val="22"/>
          <w:szCs w:val="22"/>
        </w:rPr>
        <w:t>,</w:t>
      </w:r>
      <w:r w:rsidR="005140F9" w:rsidRPr="006E7C93">
        <w:rPr>
          <w:rFonts w:ascii="Bookman Old Style" w:hAnsi="Bookman Old Style" w:cs="Verdana"/>
          <w:sz w:val="22"/>
          <w:szCs w:val="22"/>
        </w:rPr>
        <w:t xml:space="preserve"> </w:t>
      </w:r>
      <w:r w:rsidR="002D4AAC">
        <w:rPr>
          <w:rFonts w:ascii="Bookman Old Style" w:hAnsi="Bookman Old Style" w:cs="Verdana"/>
          <w:sz w:val="22"/>
          <w:szCs w:val="22"/>
        </w:rPr>
        <w:t xml:space="preserve">atteso che </w:t>
      </w:r>
      <w:r w:rsidR="00FF1E79">
        <w:rPr>
          <w:rFonts w:ascii="Bookman Old Style" w:hAnsi="Bookman Old Style" w:cs="Verdana"/>
          <w:sz w:val="22"/>
          <w:szCs w:val="22"/>
        </w:rPr>
        <w:t xml:space="preserve">in </w:t>
      </w:r>
      <w:r w:rsidR="00D45072">
        <w:rPr>
          <w:rFonts w:ascii="Bookman Old Style" w:hAnsi="Bookman Old Style" w:cs="Verdana"/>
          <w:sz w:val="22"/>
          <w:szCs w:val="22"/>
        </w:rPr>
        <w:t>essi</w:t>
      </w:r>
      <w:r w:rsidR="00FF1E79">
        <w:rPr>
          <w:rFonts w:ascii="Bookman Old Style" w:hAnsi="Bookman Old Style" w:cs="Verdana"/>
          <w:sz w:val="22"/>
          <w:szCs w:val="22"/>
        </w:rPr>
        <w:t xml:space="preserve"> vi è</w:t>
      </w:r>
      <w:r w:rsidR="005140F9" w:rsidRPr="006E7C93">
        <w:rPr>
          <w:rFonts w:ascii="Bookman Old Style" w:hAnsi="Bookman Old Style" w:cs="Verdana"/>
          <w:sz w:val="22"/>
          <w:szCs w:val="22"/>
        </w:rPr>
        <w:t xml:space="preserve"> un richiamo espresso alle verifiche di conformità, ossia al “collaudo</w:t>
      </w:r>
      <w:r w:rsidR="00A57B5A">
        <w:rPr>
          <w:rFonts w:ascii="Bookman Old Style" w:hAnsi="Bookman Old Style" w:cs="Verdana"/>
          <w:sz w:val="22"/>
          <w:szCs w:val="22"/>
        </w:rPr>
        <w:t>” delle forniture e dei servizi.</w:t>
      </w:r>
    </w:p>
    <w:p w14:paraId="09675EE2" w14:textId="5557C1C9" w:rsidR="00AB339B" w:rsidRDefault="005140F9" w:rsidP="009D25CA">
      <w:pPr>
        <w:pStyle w:val="Corpotesto"/>
        <w:spacing w:line="480" w:lineRule="auto"/>
        <w:ind w:left="709"/>
        <w:rPr>
          <w:rFonts w:ascii="Bookman Old Style" w:hAnsi="Bookman Old Style" w:cs="Verdana"/>
          <w:sz w:val="22"/>
          <w:szCs w:val="22"/>
        </w:rPr>
      </w:pPr>
      <w:r w:rsidRPr="006E7C93">
        <w:rPr>
          <w:rFonts w:ascii="Bookman Old Style" w:hAnsi="Bookman Old Style" w:cs="Verdana"/>
          <w:sz w:val="22"/>
          <w:szCs w:val="22"/>
        </w:rPr>
        <w:t>Motivo per cui</w:t>
      </w:r>
      <w:r w:rsidR="00C75BB8" w:rsidRPr="006E7C93">
        <w:rPr>
          <w:rFonts w:ascii="Bookman Old Style" w:hAnsi="Bookman Old Style" w:cs="Verdana"/>
          <w:sz w:val="22"/>
          <w:szCs w:val="22"/>
        </w:rPr>
        <w:t xml:space="preserve"> per </w:t>
      </w:r>
      <w:r w:rsidR="004D0514">
        <w:rPr>
          <w:rFonts w:ascii="Bookman Old Style" w:hAnsi="Bookman Old Style" w:cs="Verdana"/>
          <w:sz w:val="22"/>
          <w:szCs w:val="22"/>
        </w:rPr>
        <w:t xml:space="preserve">gli incentivi previsti per </w:t>
      </w:r>
      <w:r w:rsidR="00C75BB8" w:rsidRPr="006E7C93">
        <w:rPr>
          <w:rFonts w:ascii="Bookman Old Style" w:hAnsi="Bookman Old Style" w:cs="Verdana"/>
          <w:sz w:val="22"/>
          <w:szCs w:val="22"/>
        </w:rPr>
        <w:t>tali contratti</w:t>
      </w:r>
      <w:r w:rsidR="004D0514">
        <w:rPr>
          <w:rFonts w:ascii="Bookman Old Style" w:hAnsi="Bookman Old Style" w:cs="Verdana"/>
          <w:sz w:val="22"/>
          <w:szCs w:val="22"/>
        </w:rPr>
        <w:t xml:space="preserve"> non può parlarsi di spese riferite agli investimenti</w:t>
      </w:r>
      <w:r w:rsidR="00AB339B">
        <w:rPr>
          <w:rFonts w:ascii="Bookman Old Style" w:hAnsi="Bookman Old Style" w:cs="Verdana"/>
          <w:sz w:val="22"/>
          <w:szCs w:val="22"/>
        </w:rPr>
        <w:t xml:space="preserve">. Ma è dubbio che di investimenti possa parlarsi anche con riferimento ai precedenti incentivi alla progettazione. In tal senso offrono supporto normativo </w:t>
      </w:r>
      <w:r w:rsidR="002D4AAC">
        <w:rPr>
          <w:rFonts w:ascii="Bookman Old Style" w:hAnsi="Bookman Old Style" w:cs="Verdana"/>
          <w:sz w:val="22"/>
          <w:szCs w:val="22"/>
        </w:rPr>
        <w:t xml:space="preserve">tanto </w:t>
      </w:r>
      <w:r w:rsidR="00AB339B">
        <w:rPr>
          <w:rFonts w:ascii="Bookman Old Style" w:hAnsi="Bookman Old Style" w:cs="Verdana"/>
          <w:sz w:val="22"/>
          <w:szCs w:val="22"/>
        </w:rPr>
        <w:t>la legge n. 350 del 2003</w:t>
      </w:r>
      <w:r w:rsidR="002D4AAC">
        <w:rPr>
          <w:rFonts w:ascii="Bookman Old Style" w:hAnsi="Bookman Old Style" w:cs="Verdana"/>
          <w:sz w:val="22"/>
          <w:szCs w:val="22"/>
        </w:rPr>
        <w:t>,</w:t>
      </w:r>
      <w:r w:rsidR="00AB339B">
        <w:rPr>
          <w:rFonts w:ascii="Bookman Old Style" w:hAnsi="Bookman Old Style" w:cs="Verdana"/>
          <w:sz w:val="22"/>
          <w:szCs w:val="22"/>
        </w:rPr>
        <w:t xml:space="preserve"> </w:t>
      </w:r>
      <w:r w:rsidR="002D4AAC">
        <w:rPr>
          <w:rFonts w:ascii="Bookman Old Style" w:hAnsi="Bookman Old Style" w:cs="Verdana"/>
          <w:sz w:val="22"/>
          <w:szCs w:val="22"/>
        </w:rPr>
        <w:t>ch</w:t>
      </w:r>
      <w:r w:rsidR="00AB339B">
        <w:rPr>
          <w:rFonts w:ascii="Bookman Old Style" w:hAnsi="Bookman Old Style" w:cs="Verdana"/>
          <w:sz w:val="22"/>
          <w:szCs w:val="22"/>
        </w:rPr>
        <w:t xml:space="preserve">e la delibera delle </w:t>
      </w:r>
      <w:r w:rsidR="00020CA8">
        <w:rPr>
          <w:rFonts w:ascii="Bookman Old Style" w:hAnsi="Bookman Old Style" w:cs="Verdana"/>
          <w:sz w:val="22"/>
          <w:szCs w:val="22"/>
        </w:rPr>
        <w:t>Sezioni Riunite</w:t>
      </w:r>
      <w:r w:rsidR="00AB339B">
        <w:rPr>
          <w:rFonts w:ascii="Bookman Old Style" w:hAnsi="Bookman Old Style" w:cs="Verdana"/>
          <w:sz w:val="22"/>
          <w:szCs w:val="22"/>
        </w:rPr>
        <w:t xml:space="preserve"> n. 33 del 2010.</w:t>
      </w:r>
    </w:p>
    <w:p w14:paraId="5DAFB4CE" w14:textId="5A4C9E12" w:rsidR="005140F9" w:rsidRPr="006E7C93" w:rsidRDefault="002D4AAC" w:rsidP="009D25CA">
      <w:pPr>
        <w:pStyle w:val="Corpotesto"/>
        <w:spacing w:line="480" w:lineRule="auto"/>
        <w:ind w:left="709"/>
        <w:rPr>
          <w:rFonts w:ascii="Bookman Old Style" w:hAnsi="Bookman Old Style" w:cs="Verdana"/>
          <w:sz w:val="22"/>
          <w:szCs w:val="22"/>
        </w:rPr>
      </w:pPr>
      <w:r>
        <w:rPr>
          <w:rFonts w:ascii="Bookman Old Style" w:hAnsi="Bookman Old Style" w:cs="Verdana"/>
          <w:sz w:val="22"/>
          <w:szCs w:val="22"/>
        </w:rPr>
        <w:t>Ed, infatti, l</w:t>
      </w:r>
      <w:r w:rsidR="00AB339B">
        <w:rPr>
          <w:rFonts w:ascii="Bookman Old Style" w:hAnsi="Bookman Old Style" w:cs="Verdana"/>
          <w:sz w:val="22"/>
          <w:szCs w:val="22"/>
        </w:rPr>
        <w:t>a norma del 2003, all’art. 3, comma 16 e ss.gg., fissa in modo univoco quali debbano essere considerate spese di investimento e, nell’elenco non vi è nulla di riconducibile agli incentivi alla progettazione che, pertanto, sulla base d</w:t>
      </w:r>
      <w:r>
        <w:rPr>
          <w:rFonts w:ascii="Bookman Old Style" w:hAnsi="Bookman Old Style" w:cs="Verdana"/>
          <w:sz w:val="22"/>
          <w:szCs w:val="22"/>
        </w:rPr>
        <w:t>el</w:t>
      </w:r>
      <w:r w:rsidR="00AB339B">
        <w:rPr>
          <w:rFonts w:ascii="Bookman Old Style" w:hAnsi="Bookman Old Style" w:cs="Verdana"/>
          <w:sz w:val="22"/>
          <w:szCs w:val="22"/>
        </w:rPr>
        <w:t xml:space="preserve"> chiaro disposto normativo, non possono considerarsi spese di investimento (o “attinenti”). </w:t>
      </w:r>
      <w:r>
        <w:rPr>
          <w:rFonts w:ascii="Bookman Old Style" w:hAnsi="Bookman Old Style" w:cs="Verdana"/>
          <w:sz w:val="22"/>
          <w:szCs w:val="22"/>
        </w:rPr>
        <w:t>L</w:t>
      </w:r>
      <w:r w:rsidR="00FF1E79">
        <w:rPr>
          <w:rFonts w:ascii="Bookman Old Style" w:hAnsi="Bookman Old Style" w:cs="Verdana"/>
          <w:sz w:val="22"/>
          <w:szCs w:val="22"/>
        </w:rPr>
        <w:t>a d</w:t>
      </w:r>
      <w:r w:rsidR="003A4B31">
        <w:rPr>
          <w:rFonts w:ascii="Bookman Old Style" w:hAnsi="Bookman Old Style" w:cs="Verdana"/>
          <w:sz w:val="22"/>
          <w:szCs w:val="22"/>
        </w:rPr>
        <w:t xml:space="preserve">elibera delle </w:t>
      </w:r>
      <w:r w:rsidR="00020CA8">
        <w:rPr>
          <w:rFonts w:ascii="Bookman Old Style" w:hAnsi="Bookman Old Style" w:cs="Verdana"/>
          <w:sz w:val="22"/>
          <w:szCs w:val="22"/>
        </w:rPr>
        <w:t>Sezioni Riunite</w:t>
      </w:r>
      <w:r w:rsidR="00AB339B">
        <w:rPr>
          <w:rFonts w:ascii="Bookman Old Style" w:hAnsi="Bookman Old Style" w:cs="Verdana"/>
          <w:sz w:val="22"/>
          <w:szCs w:val="22"/>
        </w:rPr>
        <w:t xml:space="preserve">, </w:t>
      </w:r>
      <w:r>
        <w:rPr>
          <w:rFonts w:ascii="Bookman Old Style" w:hAnsi="Bookman Old Style" w:cs="Verdana"/>
          <w:sz w:val="22"/>
          <w:szCs w:val="22"/>
        </w:rPr>
        <w:t>poi</w:t>
      </w:r>
      <w:r w:rsidR="00AB339B">
        <w:rPr>
          <w:rFonts w:ascii="Bookman Old Style" w:hAnsi="Bookman Old Style" w:cs="Verdana"/>
          <w:sz w:val="22"/>
          <w:szCs w:val="22"/>
        </w:rPr>
        <w:t>, prevede che nella quantificazione dei fondi per l’incentivazione va</w:t>
      </w:r>
      <w:r>
        <w:rPr>
          <w:rFonts w:ascii="Bookman Old Style" w:hAnsi="Bookman Old Style" w:cs="Verdana"/>
          <w:sz w:val="22"/>
          <w:szCs w:val="22"/>
        </w:rPr>
        <w:t>da</w:t>
      </w:r>
      <w:r w:rsidR="00AB339B">
        <w:rPr>
          <w:rFonts w:ascii="Bookman Old Style" w:hAnsi="Bookman Old Style" w:cs="Verdana"/>
          <w:sz w:val="22"/>
          <w:szCs w:val="22"/>
        </w:rPr>
        <w:t>no accanto</w:t>
      </w:r>
      <w:r w:rsidR="001170A6">
        <w:rPr>
          <w:rFonts w:ascii="Bookman Old Style" w:hAnsi="Bookman Old Style" w:cs="Verdana"/>
          <w:sz w:val="22"/>
          <w:szCs w:val="22"/>
        </w:rPr>
        <w:t>nate le somme che gravano sull’e</w:t>
      </w:r>
      <w:r w:rsidR="00AB339B">
        <w:rPr>
          <w:rFonts w:ascii="Bookman Old Style" w:hAnsi="Bookman Old Style" w:cs="Verdana"/>
          <w:sz w:val="22"/>
          <w:szCs w:val="22"/>
        </w:rPr>
        <w:t xml:space="preserve">nte per oneri fiscali a titolo di Irap. E tali oneri sono </w:t>
      </w:r>
      <w:r>
        <w:rPr>
          <w:rFonts w:ascii="Bookman Old Style" w:hAnsi="Bookman Old Style" w:cs="Verdana"/>
          <w:sz w:val="22"/>
          <w:szCs w:val="22"/>
        </w:rPr>
        <w:t xml:space="preserve">certamente </w:t>
      </w:r>
      <w:r w:rsidR="00AB339B">
        <w:rPr>
          <w:rFonts w:ascii="Bookman Old Style" w:hAnsi="Bookman Old Style" w:cs="Verdana"/>
          <w:sz w:val="22"/>
          <w:szCs w:val="22"/>
        </w:rPr>
        <w:t>incompatibili con le spese di investimento</w:t>
      </w:r>
      <w:r w:rsidR="00A57B5A">
        <w:rPr>
          <w:rFonts w:ascii="Bookman Old Style" w:hAnsi="Bookman Old Style" w:cs="Verdana"/>
          <w:sz w:val="22"/>
          <w:szCs w:val="22"/>
        </w:rPr>
        <w:t>;</w:t>
      </w:r>
      <w:r w:rsidR="00AB339B">
        <w:rPr>
          <w:rFonts w:ascii="Bookman Old Style" w:hAnsi="Bookman Old Style" w:cs="Verdana"/>
          <w:sz w:val="22"/>
          <w:szCs w:val="22"/>
        </w:rPr>
        <w:t xml:space="preserve"> </w:t>
      </w:r>
    </w:p>
    <w:p w14:paraId="38B81F39" w14:textId="5C187BD8" w:rsidR="008E2C63" w:rsidRPr="006E7C93" w:rsidRDefault="009D25CA" w:rsidP="009D25CA">
      <w:pPr>
        <w:pStyle w:val="Corpotesto"/>
        <w:spacing w:line="480" w:lineRule="auto"/>
        <w:ind w:left="709" w:hanging="425"/>
        <w:rPr>
          <w:rFonts w:ascii="Bookman Old Style" w:hAnsi="Bookman Old Style" w:cs="Verdana"/>
          <w:sz w:val="22"/>
          <w:szCs w:val="22"/>
        </w:rPr>
      </w:pPr>
      <w:r>
        <w:rPr>
          <w:rFonts w:ascii="Bookman Old Style" w:hAnsi="Bookman Old Style" w:cs="Verdana"/>
          <w:sz w:val="22"/>
          <w:szCs w:val="22"/>
        </w:rPr>
        <w:t>c</w:t>
      </w:r>
      <w:r w:rsidR="00D062CE" w:rsidRPr="00343ACB">
        <w:rPr>
          <w:rFonts w:ascii="Bookman Old Style" w:hAnsi="Bookman Old Style" w:cs="Verdana"/>
          <w:sz w:val="22"/>
          <w:szCs w:val="22"/>
        </w:rPr>
        <w:t>1</w:t>
      </w:r>
      <w:r w:rsidR="008E2C63" w:rsidRPr="006E7C93">
        <w:rPr>
          <w:rFonts w:ascii="Bookman Old Style" w:hAnsi="Bookman Old Style" w:cs="Verdana"/>
          <w:sz w:val="22"/>
          <w:szCs w:val="22"/>
        </w:rPr>
        <w:t xml:space="preserve">) </w:t>
      </w:r>
      <w:r>
        <w:rPr>
          <w:rFonts w:ascii="Bookman Old Style" w:hAnsi="Bookman Old Style" w:cs="Verdana"/>
          <w:sz w:val="22"/>
          <w:szCs w:val="22"/>
        </w:rPr>
        <w:t>p</w:t>
      </w:r>
      <w:r w:rsidR="00A2095E">
        <w:rPr>
          <w:rFonts w:ascii="Bookman Old Style" w:hAnsi="Bookman Old Style" w:cs="Verdana"/>
          <w:sz w:val="22"/>
          <w:szCs w:val="22"/>
        </w:rPr>
        <w:t>er</w:t>
      </w:r>
      <w:r w:rsidR="00711A02" w:rsidRPr="006E7C93">
        <w:rPr>
          <w:rFonts w:ascii="Bookman Old Style" w:hAnsi="Bookman Old Style" w:cs="Verdana"/>
          <w:sz w:val="22"/>
          <w:szCs w:val="22"/>
        </w:rPr>
        <w:t xml:space="preserve"> la Sezione </w:t>
      </w:r>
      <w:r w:rsidR="00666478">
        <w:rPr>
          <w:rFonts w:ascii="Bookman Old Style" w:hAnsi="Bookman Old Style" w:cs="Verdana"/>
          <w:sz w:val="22"/>
          <w:szCs w:val="22"/>
        </w:rPr>
        <w:t xml:space="preserve">delle </w:t>
      </w:r>
      <w:r w:rsidR="00711A02" w:rsidRPr="006E7C93">
        <w:rPr>
          <w:rFonts w:ascii="Bookman Old Style" w:hAnsi="Bookman Old Style" w:cs="Verdana"/>
          <w:sz w:val="22"/>
          <w:szCs w:val="22"/>
        </w:rPr>
        <w:t>Autonomie</w:t>
      </w:r>
      <w:r w:rsidR="00711A02" w:rsidRPr="006E7C93">
        <w:rPr>
          <w:rFonts w:ascii="Bookman Old Style" w:hAnsi="Bookman Old Style" w:cs="Bookman Old Style"/>
          <w:sz w:val="22"/>
          <w:szCs w:val="22"/>
        </w:rPr>
        <w:t xml:space="preserve">, inoltre, gli incentivi in esame non possono essere esclusi </w:t>
      </w:r>
      <w:r w:rsidR="008E2C63" w:rsidRPr="006E7C93">
        <w:rPr>
          <w:rFonts w:ascii="Bookman Old Style" w:hAnsi="Bookman Old Style" w:cs="Verdana"/>
          <w:sz w:val="22"/>
          <w:szCs w:val="22"/>
        </w:rPr>
        <w:t xml:space="preserve">dal limite del tetto di spesa in quanto essi non vanno a remunerare prestazioni professionali tipiche di soggetti individuati e </w:t>
      </w:r>
      <w:r w:rsidR="008E2C63" w:rsidRPr="006E7C93">
        <w:rPr>
          <w:rFonts w:ascii="Bookman Old Style" w:hAnsi="Bookman Old Style" w:cs="Verdana"/>
          <w:sz w:val="22"/>
          <w:szCs w:val="22"/>
        </w:rPr>
        <w:lastRenderedPageBreak/>
        <w:t>individuabili</w:t>
      </w:r>
      <w:r w:rsidR="00FF1E79">
        <w:rPr>
          <w:rFonts w:ascii="Bookman Old Style" w:hAnsi="Bookman Old Style" w:cs="Verdana"/>
          <w:sz w:val="22"/>
          <w:szCs w:val="22"/>
        </w:rPr>
        <w:t>,</w:t>
      </w:r>
      <w:r w:rsidR="008E2C63" w:rsidRPr="006E7C93">
        <w:rPr>
          <w:rFonts w:ascii="Bookman Old Style" w:hAnsi="Bookman Old Style" w:cs="Verdana"/>
          <w:sz w:val="22"/>
          <w:szCs w:val="22"/>
        </w:rPr>
        <w:t xml:space="preserve"> acquisibili anche attraverso il ricorso a personale esterno alla P.A</w:t>
      </w:r>
      <w:r w:rsidR="00051BF8" w:rsidRPr="006E7C93">
        <w:rPr>
          <w:rFonts w:ascii="Bookman Old Style" w:hAnsi="Bookman Old Style" w:cs="Verdana"/>
          <w:sz w:val="22"/>
          <w:szCs w:val="22"/>
        </w:rPr>
        <w:t>.</w:t>
      </w:r>
    </w:p>
    <w:p w14:paraId="0A92A620" w14:textId="0B93EEE0" w:rsidR="00051BF8" w:rsidRPr="006E7C93" w:rsidRDefault="00A2095E" w:rsidP="009D25CA">
      <w:pPr>
        <w:pStyle w:val="Corpotesto"/>
        <w:spacing w:line="480" w:lineRule="auto"/>
        <w:ind w:left="709"/>
        <w:rPr>
          <w:rFonts w:ascii="Bookman Old Style" w:hAnsi="Bookman Old Style" w:cs="Verdana"/>
          <w:sz w:val="22"/>
          <w:szCs w:val="22"/>
        </w:rPr>
      </w:pPr>
      <w:r>
        <w:rPr>
          <w:rFonts w:ascii="Bookman Old Style" w:hAnsi="Bookman Old Style" w:cs="Verdana"/>
          <w:sz w:val="22"/>
          <w:szCs w:val="22"/>
        </w:rPr>
        <w:t>Ma t</w:t>
      </w:r>
      <w:r w:rsidR="00051BF8" w:rsidRPr="006E7C93">
        <w:rPr>
          <w:rFonts w:ascii="Bookman Old Style" w:hAnsi="Bookman Old Style" w:cs="Verdana"/>
          <w:sz w:val="22"/>
          <w:szCs w:val="22"/>
        </w:rPr>
        <w:t xml:space="preserve">ale conclusione </w:t>
      </w:r>
      <w:r w:rsidR="00AB339B">
        <w:rPr>
          <w:rFonts w:ascii="Bookman Old Style" w:hAnsi="Bookman Old Style" w:cs="Verdana"/>
          <w:sz w:val="22"/>
          <w:szCs w:val="22"/>
        </w:rPr>
        <w:t>sembra</w:t>
      </w:r>
      <w:r>
        <w:rPr>
          <w:rFonts w:ascii="Bookman Old Style" w:hAnsi="Bookman Old Style" w:cs="Verdana"/>
          <w:sz w:val="22"/>
          <w:szCs w:val="22"/>
        </w:rPr>
        <w:t>, in</w:t>
      </w:r>
      <w:r w:rsidR="003A4B31">
        <w:rPr>
          <w:rFonts w:ascii="Bookman Old Style" w:hAnsi="Bookman Old Style" w:cs="Verdana"/>
          <w:sz w:val="22"/>
          <w:szCs w:val="22"/>
        </w:rPr>
        <w:t xml:space="preserve"> </w:t>
      </w:r>
      <w:r>
        <w:rPr>
          <w:rFonts w:ascii="Bookman Old Style" w:hAnsi="Bookman Old Style" w:cs="Verdana"/>
          <w:sz w:val="22"/>
          <w:szCs w:val="22"/>
        </w:rPr>
        <w:t xml:space="preserve">vero, </w:t>
      </w:r>
      <w:r w:rsidR="00AB339B">
        <w:rPr>
          <w:rFonts w:ascii="Bookman Old Style" w:hAnsi="Bookman Old Style" w:cs="Verdana"/>
          <w:sz w:val="22"/>
          <w:szCs w:val="22"/>
        </w:rPr>
        <w:t xml:space="preserve">provare troppo, alla luce del confronto tra </w:t>
      </w:r>
      <w:r w:rsidR="00051BF8" w:rsidRPr="006E7C93">
        <w:rPr>
          <w:rFonts w:ascii="Bookman Old Style" w:hAnsi="Bookman Old Style" w:cs="Verdana"/>
          <w:sz w:val="22"/>
          <w:szCs w:val="22"/>
        </w:rPr>
        <w:t>le due norme, quella del d.lgs. 163/2006 e quella attuale</w:t>
      </w:r>
      <w:r>
        <w:rPr>
          <w:rFonts w:ascii="Bookman Old Style" w:hAnsi="Bookman Old Style" w:cs="Verdana"/>
          <w:sz w:val="22"/>
          <w:szCs w:val="22"/>
        </w:rPr>
        <w:t>:</w:t>
      </w:r>
      <w:r w:rsidR="00051BF8" w:rsidRPr="006E7C93">
        <w:rPr>
          <w:rFonts w:ascii="Bookman Old Style" w:hAnsi="Bookman Old Style" w:cs="Verdana"/>
          <w:sz w:val="22"/>
          <w:szCs w:val="22"/>
        </w:rPr>
        <w:t xml:space="preserve"> </w:t>
      </w:r>
      <w:r w:rsidR="00BB2807" w:rsidRPr="006E7C93">
        <w:rPr>
          <w:rFonts w:ascii="Bookman Old Style" w:hAnsi="Bookman Old Style" w:cs="Verdana"/>
          <w:sz w:val="22"/>
          <w:szCs w:val="22"/>
        </w:rPr>
        <w:t>entrambe</w:t>
      </w:r>
      <w:r w:rsidR="00FF1E79">
        <w:rPr>
          <w:rFonts w:ascii="Bookman Old Style" w:hAnsi="Bookman Old Style" w:cs="Verdana"/>
          <w:sz w:val="22"/>
          <w:szCs w:val="22"/>
        </w:rPr>
        <w:t>,</w:t>
      </w:r>
      <w:r w:rsidR="00BB2807" w:rsidRPr="006E7C93">
        <w:rPr>
          <w:rFonts w:ascii="Bookman Old Style" w:hAnsi="Bookman Old Style" w:cs="Verdana"/>
          <w:sz w:val="22"/>
          <w:szCs w:val="22"/>
        </w:rPr>
        <w:t xml:space="preserve"> ad esempio, riferiscono gli incentivi alla direzione dei lavori ed al collaudo.</w:t>
      </w:r>
      <w:r w:rsidR="005D6523" w:rsidRPr="006E7C93">
        <w:rPr>
          <w:rFonts w:ascii="Bookman Old Style" w:hAnsi="Bookman Old Style" w:cs="Verdana"/>
          <w:sz w:val="22"/>
          <w:szCs w:val="22"/>
        </w:rPr>
        <w:t xml:space="preserve"> Inoltre, </w:t>
      </w:r>
      <w:r w:rsidR="00FF1E79">
        <w:rPr>
          <w:rFonts w:ascii="Bookman Old Style" w:hAnsi="Bookman Old Style" w:cs="Verdana"/>
          <w:sz w:val="22"/>
          <w:szCs w:val="22"/>
        </w:rPr>
        <w:t xml:space="preserve">va evidenziato </w:t>
      </w:r>
      <w:r w:rsidR="00D00053">
        <w:rPr>
          <w:rFonts w:ascii="Bookman Old Style" w:hAnsi="Bookman Old Style" w:cs="Verdana"/>
          <w:sz w:val="22"/>
          <w:szCs w:val="22"/>
        </w:rPr>
        <w:t xml:space="preserve">che </w:t>
      </w:r>
      <w:r w:rsidR="005D6523" w:rsidRPr="006E7C93">
        <w:rPr>
          <w:rFonts w:ascii="Bookman Old Style" w:hAnsi="Bookman Old Style" w:cs="Verdana"/>
          <w:sz w:val="22"/>
          <w:szCs w:val="22"/>
        </w:rPr>
        <w:t>la giurisprudenza contabile aveva esteso l’incentivo alla progettazione anche ad altre figure, oggi espressamen</w:t>
      </w:r>
      <w:r w:rsidR="00E86CA5">
        <w:rPr>
          <w:rFonts w:ascii="Bookman Old Style" w:hAnsi="Bookman Old Style" w:cs="Verdana"/>
          <w:sz w:val="22"/>
          <w:szCs w:val="22"/>
        </w:rPr>
        <w:t>te richiamate dall’art. 113 citato</w:t>
      </w:r>
      <w:r w:rsidR="005364DE">
        <w:rPr>
          <w:rFonts w:ascii="Bookman Old Style" w:hAnsi="Bookman Old Style" w:cs="Verdana"/>
          <w:sz w:val="22"/>
          <w:szCs w:val="22"/>
        </w:rPr>
        <w:t xml:space="preserve">. </w:t>
      </w:r>
      <w:r w:rsidR="00D00053">
        <w:rPr>
          <w:rFonts w:ascii="Bookman Old Style" w:hAnsi="Bookman Old Style" w:cs="Verdana"/>
          <w:sz w:val="22"/>
          <w:szCs w:val="22"/>
        </w:rPr>
        <w:t>Al riguardo l</w:t>
      </w:r>
      <w:r w:rsidR="005364DE">
        <w:rPr>
          <w:rFonts w:ascii="Bookman Old Style" w:hAnsi="Bookman Old Style" w:cs="Verdana"/>
          <w:sz w:val="22"/>
          <w:szCs w:val="22"/>
        </w:rPr>
        <w:t xml:space="preserve">a Sezione </w:t>
      </w:r>
      <w:r w:rsidR="00224154">
        <w:rPr>
          <w:rFonts w:ascii="Bookman Old Style" w:hAnsi="Bookman Old Style" w:cs="Verdana"/>
          <w:sz w:val="22"/>
          <w:szCs w:val="22"/>
        </w:rPr>
        <w:t xml:space="preserve">delle </w:t>
      </w:r>
      <w:r w:rsidR="005364DE">
        <w:rPr>
          <w:rFonts w:ascii="Bookman Old Style" w:hAnsi="Bookman Old Style" w:cs="Verdana"/>
          <w:sz w:val="22"/>
          <w:szCs w:val="22"/>
        </w:rPr>
        <w:t xml:space="preserve">Autonomie, con delibera n. 18 del 2016, aveva riconosciuto esplicitamente l’incentivo alla progettazione al responsabile unico del procedimento (figura professionale oggi espressamente prevista dalla norma in esame). </w:t>
      </w:r>
      <w:r w:rsidR="00D00053">
        <w:rPr>
          <w:rFonts w:ascii="Bookman Old Style" w:hAnsi="Bookman Old Style" w:cs="Verdana"/>
          <w:sz w:val="22"/>
          <w:szCs w:val="22"/>
        </w:rPr>
        <w:t>A</w:t>
      </w:r>
      <w:r w:rsidR="005364DE">
        <w:rPr>
          <w:rFonts w:ascii="Bookman Old Style" w:hAnsi="Bookman Old Style" w:cs="Verdana"/>
          <w:sz w:val="22"/>
          <w:szCs w:val="22"/>
        </w:rPr>
        <w:t>veva</w:t>
      </w:r>
      <w:r w:rsidR="00D00053">
        <w:rPr>
          <w:rFonts w:ascii="Bookman Old Style" w:hAnsi="Bookman Old Style" w:cs="Verdana"/>
          <w:sz w:val="22"/>
          <w:szCs w:val="22"/>
        </w:rPr>
        <w:t>, altresì,</w:t>
      </w:r>
      <w:r w:rsidR="005364DE">
        <w:rPr>
          <w:rFonts w:ascii="Bookman Old Style" w:hAnsi="Bookman Old Style" w:cs="Verdana"/>
          <w:sz w:val="22"/>
          <w:szCs w:val="22"/>
        </w:rPr>
        <w:t xml:space="preserve"> individuato una nozione di collaboratori, riferendola </w:t>
      </w:r>
      <w:r w:rsidR="00D45072">
        <w:rPr>
          <w:rFonts w:ascii="Bookman Old Style" w:hAnsi="Bookman Old Style" w:cs="Verdana"/>
          <w:sz w:val="22"/>
          <w:szCs w:val="22"/>
        </w:rPr>
        <w:t>“</w:t>
      </w:r>
      <w:r w:rsidR="005364DE" w:rsidRPr="005364DE">
        <w:rPr>
          <w:rFonts w:ascii="Bookman Old Style" w:hAnsi="Bookman Old Style" w:cs="Verdana"/>
          <w:i/>
          <w:sz w:val="22"/>
          <w:szCs w:val="22"/>
        </w:rPr>
        <w:t>alle professionalità – di norma tecniche – individuate in sede di costituzione dell’</w:t>
      </w:r>
      <w:r w:rsidR="005364DE">
        <w:rPr>
          <w:rFonts w:ascii="Bookman Old Style" w:hAnsi="Bookman Old Style" w:cs="Verdana"/>
          <w:i/>
          <w:sz w:val="22"/>
          <w:szCs w:val="22"/>
        </w:rPr>
        <w:t xml:space="preserve">apposito staff, </w:t>
      </w:r>
      <w:r w:rsidR="005364DE" w:rsidRPr="005364DE">
        <w:rPr>
          <w:rFonts w:ascii="Bookman Old Style" w:hAnsi="Bookman Old Style" w:cs="Verdana"/>
          <w:i/>
          <w:sz w:val="22"/>
          <w:szCs w:val="22"/>
        </w:rPr>
        <w:t>le quali devono porsi in stretta correlazione funzionale e teleologica rispetto alle attività da compiere per la realizzazione dell’opera a regola d’arte e nei termini preventivati</w:t>
      </w:r>
      <w:r w:rsidR="005364DE">
        <w:rPr>
          <w:rFonts w:ascii="Bookman Old Style" w:hAnsi="Bookman Old Style" w:cs="Verdana"/>
          <w:sz w:val="22"/>
          <w:szCs w:val="22"/>
        </w:rPr>
        <w:t xml:space="preserve">”. </w:t>
      </w:r>
    </w:p>
    <w:p w14:paraId="36FBD9FD" w14:textId="05641617" w:rsidR="0048685E" w:rsidRPr="006E7C93" w:rsidRDefault="00D00053" w:rsidP="009D25CA">
      <w:pPr>
        <w:pStyle w:val="Corpotesto"/>
        <w:spacing w:line="480" w:lineRule="auto"/>
        <w:ind w:left="709"/>
        <w:rPr>
          <w:rFonts w:ascii="Bookman Old Style" w:hAnsi="Bookman Old Style" w:cs="Verdana"/>
          <w:sz w:val="22"/>
          <w:szCs w:val="22"/>
        </w:rPr>
      </w:pPr>
      <w:r>
        <w:rPr>
          <w:rFonts w:ascii="Bookman Old Style" w:hAnsi="Bookman Old Style" w:cs="Verdana"/>
          <w:sz w:val="22"/>
          <w:szCs w:val="22"/>
        </w:rPr>
        <w:t>Quanto procede</w:t>
      </w:r>
      <w:r w:rsidR="00FF1E79">
        <w:rPr>
          <w:rFonts w:ascii="Bookman Old Style" w:hAnsi="Bookman Old Style" w:cs="Verdana"/>
          <w:sz w:val="22"/>
          <w:szCs w:val="22"/>
        </w:rPr>
        <w:t xml:space="preserve"> rende</w:t>
      </w:r>
      <w:r w:rsidR="005364DE">
        <w:rPr>
          <w:rFonts w:ascii="Bookman Old Style" w:hAnsi="Bookman Old Style" w:cs="Verdana"/>
          <w:sz w:val="22"/>
          <w:szCs w:val="22"/>
        </w:rPr>
        <w:t xml:space="preserve"> possibile affermare che </w:t>
      </w:r>
      <w:r w:rsidR="00BB2807" w:rsidRPr="006E7C93">
        <w:rPr>
          <w:rFonts w:ascii="Bookman Old Style" w:hAnsi="Bookman Old Style" w:cs="Verdana"/>
          <w:sz w:val="22"/>
          <w:szCs w:val="22"/>
        </w:rPr>
        <w:t>l’individuazione dei soggetti aventi diritto all’incentivo non avviene più mediante il riferimento ad una figura specifica</w:t>
      </w:r>
      <w:r w:rsidR="00FF1E79">
        <w:rPr>
          <w:rFonts w:ascii="Bookman Old Style" w:hAnsi="Bookman Old Style" w:cs="Verdana"/>
          <w:sz w:val="22"/>
          <w:szCs w:val="22"/>
        </w:rPr>
        <w:t>,</w:t>
      </w:r>
      <w:r w:rsidR="00BB2807" w:rsidRPr="006E7C93">
        <w:rPr>
          <w:rFonts w:ascii="Bookman Old Style" w:hAnsi="Bookman Old Style" w:cs="Verdana"/>
          <w:sz w:val="22"/>
          <w:szCs w:val="22"/>
        </w:rPr>
        <w:t xml:space="preserve"> bens</w:t>
      </w:r>
      <w:r w:rsidR="0048685E" w:rsidRPr="006E7C93">
        <w:rPr>
          <w:rFonts w:ascii="Bookman Old Style" w:hAnsi="Bookman Old Style" w:cs="Verdana"/>
          <w:sz w:val="22"/>
          <w:szCs w:val="22"/>
        </w:rPr>
        <w:t>ì</w:t>
      </w:r>
      <w:r w:rsidR="00BB2807" w:rsidRPr="006E7C93">
        <w:rPr>
          <w:rFonts w:ascii="Bookman Old Style" w:hAnsi="Bookman Old Style" w:cs="Verdana"/>
          <w:sz w:val="22"/>
          <w:szCs w:val="22"/>
        </w:rPr>
        <w:t xml:space="preserve"> attraverso</w:t>
      </w:r>
      <w:r w:rsidR="0048685E" w:rsidRPr="006E7C93">
        <w:rPr>
          <w:rFonts w:ascii="Bookman Old Style" w:hAnsi="Bookman Old Style" w:cs="Verdana"/>
          <w:sz w:val="22"/>
          <w:szCs w:val="22"/>
        </w:rPr>
        <w:t xml:space="preserve"> le funzioni “tecniche”</w:t>
      </w:r>
      <w:r w:rsidR="00FF1E79">
        <w:rPr>
          <w:rFonts w:ascii="Bookman Old Style" w:hAnsi="Bookman Old Style" w:cs="Verdana"/>
          <w:sz w:val="22"/>
          <w:szCs w:val="22"/>
        </w:rPr>
        <w:t>,</w:t>
      </w:r>
      <w:r w:rsidR="0048685E" w:rsidRPr="006E7C93">
        <w:rPr>
          <w:rFonts w:ascii="Bookman Old Style" w:hAnsi="Bookman Old Style" w:cs="Verdana"/>
          <w:sz w:val="22"/>
          <w:szCs w:val="22"/>
        </w:rPr>
        <w:t xml:space="preserve"> garantendo l’incentivo ai dipendenti pubblici che le espletano.</w:t>
      </w:r>
    </w:p>
    <w:p w14:paraId="76E699DF" w14:textId="0683B8E5" w:rsidR="00BB2807" w:rsidRPr="006E7C93" w:rsidRDefault="009D25CA" w:rsidP="009D25CA">
      <w:pPr>
        <w:pStyle w:val="Corpotesto"/>
        <w:spacing w:line="480" w:lineRule="auto"/>
        <w:ind w:left="709"/>
        <w:rPr>
          <w:rFonts w:ascii="Bookman Old Style" w:hAnsi="Bookman Old Style" w:cs="Verdana"/>
          <w:sz w:val="22"/>
          <w:szCs w:val="22"/>
        </w:rPr>
      </w:pPr>
      <w:r>
        <w:rPr>
          <w:rFonts w:ascii="Bookman Old Style" w:hAnsi="Bookman Old Style" w:cs="Verdana"/>
          <w:sz w:val="22"/>
          <w:szCs w:val="22"/>
        </w:rPr>
        <w:t>È</w:t>
      </w:r>
      <w:r w:rsidR="00FF1E79">
        <w:rPr>
          <w:rFonts w:ascii="Bookman Old Style" w:hAnsi="Bookman Old Style" w:cs="Verdana"/>
          <w:sz w:val="22"/>
          <w:szCs w:val="22"/>
        </w:rPr>
        <w:t xml:space="preserve"> i</w:t>
      </w:r>
      <w:r w:rsidR="0048685E" w:rsidRPr="006E7C93">
        <w:rPr>
          <w:rFonts w:ascii="Bookman Old Style" w:hAnsi="Bookman Old Style" w:cs="Verdana"/>
          <w:sz w:val="22"/>
          <w:szCs w:val="22"/>
        </w:rPr>
        <w:t>ndubbio che la norma non preveda più la progettazione</w:t>
      </w:r>
      <w:r w:rsidR="00FF1E79">
        <w:rPr>
          <w:rFonts w:ascii="Bookman Old Style" w:hAnsi="Bookman Old Style" w:cs="Verdana"/>
          <w:sz w:val="22"/>
          <w:szCs w:val="22"/>
        </w:rPr>
        <w:t>,</w:t>
      </w:r>
      <w:r w:rsidR="0048685E" w:rsidRPr="006E7C93">
        <w:rPr>
          <w:rFonts w:ascii="Bookman Old Style" w:hAnsi="Bookman Old Style" w:cs="Verdana"/>
          <w:sz w:val="22"/>
          <w:szCs w:val="22"/>
        </w:rPr>
        <w:t xml:space="preserve"> ma questo è un diverso aspetto che testimonia la novità della novella legislativa e la necessità di leggere il nuovo quadro normativo ricorrendo ad altre considerazioni che consentano un’interpretazione conforme alla </w:t>
      </w:r>
      <w:r w:rsidR="00FF1E79" w:rsidRPr="009D25CA">
        <w:rPr>
          <w:rFonts w:ascii="Bookman Old Style" w:hAnsi="Bookman Old Style" w:cs="Verdana"/>
          <w:i/>
          <w:sz w:val="22"/>
          <w:szCs w:val="22"/>
        </w:rPr>
        <w:t>voluntas</w:t>
      </w:r>
      <w:r w:rsidR="0048685E" w:rsidRPr="009D25CA">
        <w:rPr>
          <w:rFonts w:ascii="Bookman Old Style" w:hAnsi="Bookman Old Style" w:cs="Verdana"/>
          <w:i/>
          <w:sz w:val="22"/>
          <w:szCs w:val="22"/>
        </w:rPr>
        <w:t xml:space="preserve"> legis.</w:t>
      </w:r>
      <w:r w:rsidR="0048685E" w:rsidRPr="006E7C93">
        <w:rPr>
          <w:rFonts w:ascii="Bookman Old Style" w:hAnsi="Bookman Old Style" w:cs="Verdana"/>
          <w:sz w:val="22"/>
          <w:szCs w:val="22"/>
        </w:rPr>
        <w:t xml:space="preserve"> In disparte, poi, se la novella </w:t>
      </w:r>
      <w:r w:rsidR="00FF1E79">
        <w:rPr>
          <w:rFonts w:ascii="Bookman Old Style" w:hAnsi="Bookman Old Style" w:cs="Verdana"/>
          <w:sz w:val="22"/>
          <w:szCs w:val="22"/>
        </w:rPr>
        <w:t>abbia</w:t>
      </w:r>
      <w:r w:rsidR="0048685E" w:rsidRPr="006E7C93">
        <w:rPr>
          <w:rFonts w:ascii="Bookman Old Style" w:hAnsi="Bookman Old Style" w:cs="Verdana"/>
          <w:sz w:val="22"/>
          <w:szCs w:val="22"/>
        </w:rPr>
        <w:t xml:space="preserve"> realmente escluso la possibilità </w:t>
      </w:r>
      <w:r w:rsidR="0048685E" w:rsidRPr="006E7C93">
        <w:rPr>
          <w:rFonts w:ascii="Bookman Old Style" w:hAnsi="Bookman Old Style" w:cs="Verdana"/>
          <w:sz w:val="22"/>
          <w:szCs w:val="22"/>
        </w:rPr>
        <w:lastRenderedPageBreak/>
        <w:t>di ricorrere alla progettazione interna o di escludere l</w:t>
      </w:r>
      <w:r w:rsidR="00A57B5A">
        <w:rPr>
          <w:rFonts w:ascii="Bookman Old Style" w:hAnsi="Bookman Old Style" w:cs="Verdana"/>
          <w:sz w:val="22"/>
          <w:szCs w:val="22"/>
        </w:rPr>
        <w:t>a stessa da qualsiasi incentivo;</w:t>
      </w:r>
    </w:p>
    <w:p w14:paraId="07A9ED7C" w14:textId="173A62DD" w:rsidR="0048685E" w:rsidRPr="006E7C93" w:rsidRDefault="009D25CA" w:rsidP="009D25CA">
      <w:pPr>
        <w:pStyle w:val="Corpotesto"/>
        <w:spacing w:line="480" w:lineRule="auto"/>
        <w:ind w:left="709" w:hanging="425"/>
        <w:rPr>
          <w:rFonts w:ascii="Bookman Old Style" w:hAnsi="Bookman Old Style" w:cs="Verdana"/>
          <w:sz w:val="22"/>
          <w:szCs w:val="22"/>
        </w:rPr>
      </w:pPr>
      <w:r>
        <w:rPr>
          <w:rFonts w:ascii="Bookman Old Style" w:hAnsi="Bookman Old Style" w:cs="Verdana"/>
          <w:sz w:val="22"/>
          <w:szCs w:val="22"/>
        </w:rPr>
        <w:t>d</w:t>
      </w:r>
      <w:r w:rsidR="00202628" w:rsidRPr="00343ACB">
        <w:rPr>
          <w:rFonts w:ascii="Bookman Old Style" w:hAnsi="Bookman Old Style" w:cs="Verdana"/>
          <w:sz w:val="22"/>
          <w:szCs w:val="22"/>
        </w:rPr>
        <w:t>1</w:t>
      </w:r>
      <w:r w:rsidR="008E2C63" w:rsidRPr="00343ACB">
        <w:rPr>
          <w:rFonts w:ascii="Bookman Old Style" w:hAnsi="Bookman Old Style" w:cs="Verdana"/>
          <w:sz w:val="22"/>
          <w:szCs w:val="22"/>
        </w:rPr>
        <w:t>)</w:t>
      </w:r>
      <w:r>
        <w:rPr>
          <w:rFonts w:ascii="Bookman Old Style" w:hAnsi="Bookman Old Style" w:cs="Verdana"/>
          <w:sz w:val="22"/>
          <w:szCs w:val="22"/>
        </w:rPr>
        <w:t xml:space="preserve"> q</w:t>
      </w:r>
      <w:r w:rsidR="005364DE">
        <w:rPr>
          <w:rFonts w:ascii="Bookman Old Style" w:hAnsi="Bookman Old Style" w:cs="Verdana"/>
          <w:sz w:val="22"/>
          <w:szCs w:val="22"/>
        </w:rPr>
        <w:t xml:space="preserve">uanto appena evidenziato, </w:t>
      </w:r>
      <w:r w:rsidR="00FF1E79">
        <w:rPr>
          <w:rFonts w:ascii="Bookman Old Style" w:hAnsi="Bookman Old Style" w:cs="Verdana"/>
          <w:sz w:val="22"/>
          <w:szCs w:val="22"/>
        </w:rPr>
        <w:t xml:space="preserve">pone in </w:t>
      </w:r>
      <w:r w:rsidR="005364DE">
        <w:rPr>
          <w:rFonts w:ascii="Bookman Old Style" w:hAnsi="Bookman Old Style" w:cs="Verdana"/>
          <w:sz w:val="22"/>
          <w:szCs w:val="22"/>
        </w:rPr>
        <w:t>dubbio anche l</w:t>
      </w:r>
      <w:r w:rsidR="0048685E" w:rsidRPr="006E7C93">
        <w:rPr>
          <w:rFonts w:ascii="Bookman Old Style" w:hAnsi="Bookman Old Style" w:cs="Verdana"/>
          <w:sz w:val="22"/>
          <w:szCs w:val="22"/>
        </w:rPr>
        <w:t>’ultimo sostegno argomentativo utilizzato dalla Sezione delle Autonomie per le quali è “</w:t>
      </w:r>
      <w:r w:rsidR="008E2C63" w:rsidRPr="006E7C93">
        <w:rPr>
          <w:rFonts w:ascii="Bookman Old Style" w:hAnsi="Bookman Old Style" w:cs="Verdana"/>
          <w:sz w:val="22"/>
          <w:szCs w:val="22"/>
        </w:rPr>
        <w:t>evidente</w:t>
      </w:r>
      <w:r w:rsidR="0048685E" w:rsidRPr="006E7C93">
        <w:rPr>
          <w:rFonts w:ascii="Bookman Old Style" w:hAnsi="Bookman Old Style" w:cs="Verdana"/>
          <w:sz w:val="22"/>
          <w:szCs w:val="22"/>
        </w:rPr>
        <w:t>”</w:t>
      </w:r>
      <w:r w:rsidR="008E2C63" w:rsidRPr="006E7C93">
        <w:rPr>
          <w:rFonts w:ascii="Bookman Old Style" w:hAnsi="Bookman Old Style" w:cs="Verdana"/>
          <w:sz w:val="22"/>
          <w:szCs w:val="22"/>
        </w:rPr>
        <w:t xml:space="preserve"> l’intento del legislatore di ampliare il novero dei beneficiari degli incentivi in esame, individuati nei profili, tecnici e non, del personale pubblico</w:t>
      </w:r>
      <w:r w:rsidR="0048685E" w:rsidRPr="006E7C93">
        <w:rPr>
          <w:rFonts w:ascii="Bookman Old Style" w:hAnsi="Bookman Old Style" w:cs="Verdana"/>
          <w:sz w:val="22"/>
          <w:szCs w:val="22"/>
        </w:rPr>
        <w:t>.</w:t>
      </w:r>
    </w:p>
    <w:p w14:paraId="1D087010" w14:textId="6E39890C" w:rsidR="005364DE" w:rsidRDefault="009561AA" w:rsidP="009D25CA">
      <w:pPr>
        <w:pStyle w:val="Corpotesto"/>
        <w:spacing w:line="480" w:lineRule="auto"/>
        <w:ind w:left="709" w:hanging="1"/>
        <w:rPr>
          <w:rFonts w:ascii="Bookman Old Style" w:hAnsi="Bookman Old Style" w:cs="Verdana"/>
          <w:sz w:val="22"/>
          <w:szCs w:val="22"/>
        </w:rPr>
      </w:pPr>
      <w:r w:rsidRPr="006E7C93">
        <w:rPr>
          <w:rFonts w:ascii="Bookman Old Style" w:hAnsi="Bookman Old Style" w:cs="Verdana"/>
          <w:sz w:val="22"/>
          <w:szCs w:val="22"/>
        </w:rPr>
        <w:t xml:space="preserve">Come già osservato, le figure destinatarie degli incentivi sono individuate mediante il ricorso alle funzioni tecniche. Altre funzioni sono escluse </w:t>
      </w:r>
      <w:r w:rsidR="000C53CA" w:rsidRPr="006E7C93">
        <w:rPr>
          <w:rFonts w:ascii="Bookman Old Style" w:hAnsi="Bookman Old Style" w:cs="Verdana"/>
          <w:sz w:val="22"/>
          <w:szCs w:val="22"/>
        </w:rPr>
        <w:t xml:space="preserve">e </w:t>
      </w:r>
      <w:r w:rsidRPr="006E7C93">
        <w:rPr>
          <w:rFonts w:ascii="Bookman Old Style" w:hAnsi="Bookman Old Style" w:cs="Verdana"/>
          <w:sz w:val="22"/>
          <w:szCs w:val="22"/>
        </w:rPr>
        <w:t>non s</w:t>
      </w:r>
      <w:r w:rsidR="005364DE">
        <w:rPr>
          <w:rFonts w:ascii="Bookman Old Style" w:hAnsi="Bookman Old Style" w:cs="Verdana"/>
          <w:sz w:val="22"/>
          <w:szCs w:val="22"/>
        </w:rPr>
        <w:t xml:space="preserve">ono ricompresi </w:t>
      </w:r>
      <w:r w:rsidRPr="006E7C93">
        <w:rPr>
          <w:rFonts w:ascii="Bookman Old Style" w:hAnsi="Bookman Old Style" w:cs="Verdana"/>
          <w:sz w:val="22"/>
          <w:szCs w:val="22"/>
        </w:rPr>
        <w:t xml:space="preserve">profili “non tecnici”. Qualora </w:t>
      </w:r>
      <w:r w:rsidR="004C4F0F" w:rsidRPr="006E7C93">
        <w:rPr>
          <w:rFonts w:ascii="Bookman Old Style" w:hAnsi="Bookman Old Style" w:cs="Verdana"/>
          <w:sz w:val="22"/>
          <w:szCs w:val="22"/>
        </w:rPr>
        <w:t xml:space="preserve">detto riferimento riguardasse </w:t>
      </w:r>
      <w:r w:rsidRPr="006E7C93">
        <w:rPr>
          <w:rFonts w:ascii="Bookman Old Style" w:hAnsi="Bookman Old Style" w:cs="Verdana"/>
          <w:sz w:val="22"/>
          <w:szCs w:val="22"/>
        </w:rPr>
        <w:t>i collaboratori, l</w:t>
      </w:r>
      <w:r w:rsidR="005364DE">
        <w:rPr>
          <w:rFonts w:ascii="Bookman Old Style" w:hAnsi="Bookman Old Style" w:cs="Verdana"/>
          <w:sz w:val="22"/>
          <w:szCs w:val="22"/>
        </w:rPr>
        <w:t xml:space="preserve">a stessa Sezione </w:t>
      </w:r>
      <w:r w:rsidR="00666478">
        <w:rPr>
          <w:rFonts w:ascii="Bookman Old Style" w:hAnsi="Bookman Old Style" w:cs="Verdana"/>
          <w:sz w:val="22"/>
          <w:szCs w:val="22"/>
        </w:rPr>
        <w:t xml:space="preserve">delle </w:t>
      </w:r>
      <w:r w:rsidR="005364DE">
        <w:rPr>
          <w:rFonts w:ascii="Bookman Old Style" w:hAnsi="Bookman Old Style" w:cs="Verdana"/>
          <w:sz w:val="22"/>
          <w:szCs w:val="22"/>
        </w:rPr>
        <w:t xml:space="preserve">Autonomie ha chiarito, nella delibera n. 18 sopra richiamata, quale sia la corretta individuazione </w:t>
      </w:r>
      <w:r w:rsidR="00FF1E79">
        <w:rPr>
          <w:rFonts w:ascii="Bookman Old Style" w:hAnsi="Bookman Old Style" w:cs="Verdana"/>
          <w:sz w:val="22"/>
          <w:szCs w:val="22"/>
        </w:rPr>
        <w:t>d</w:t>
      </w:r>
      <w:r w:rsidR="007C71CA">
        <w:rPr>
          <w:rFonts w:ascii="Bookman Old Style" w:hAnsi="Bookman Old Style" w:cs="Verdana"/>
          <w:sz w:val="22"/>
          <w:szCs w:val="22"/>
        </w:rPr>
        <w:t>i siffatta cate</w:t>
      </w:r>
      <w:r w:rsidR="00FF1E79">
        <w:rPr>
          <w:rFonts w:ascii="Bookman Old Style" w:hAnsi="Bookman Old Style" w:cs="Verdana"/>
          <w:sz w:val="22"/>
          <w:szCs w:val="22"/>
        </w:rPr>
        <w:t>goria</w:t>
      </w:r>
      <w:r w:rsidR="005364DE">
        <w:rPr>
          <w:rFonts w:ascii="Bookman Old Style" w:hAnsi="Bookman Old Style" w:cs="Verdana"/>
          <w:sz w:val="22"/>
          <w:szCs w:val="22"/>
        </w:rPr>
        <w:t>.</w:t>
      </w:r>
    </w:p>
    <w:p w14:paraId="67BFCA43" w14:textId="3E125081" w:rsidR="009561AA" w:rsidRDefault="007C71CA" w:rsidP="009D25CA">
      <w:pPr>
        <w:pStyle w:val="Corpotesto"/>
        <w:spacing w:line="480" w:lineRule="auto"/>
        <w:ind w:left="709" w:hanging="1"/>
        <w:rPr>
          <w:rFonts w:ascii="Bookman Old Style" w:hAnsi="Bookman Old Style" w:cs="Verdana"/>
          <w:sz w:val="22"/>
          <w:szCs w:val="22"/>
        </w:rPr>
      </w:pPr>
      <w:r>
        <w:rPr>
          <w:rFonts w:ascii="Bookman Old Style" w:hAnsi="Bookman Old Style" w:cs="Verdana"/>
          <w:sz w:val="22"/>
          <w:szCs w:val="22"/>
        </w:rPr>
        <w:t>Da</w:t>
      </w:r>
      <w:r w:rsidR="009561AA" w:rsidRPr="006E7C93">
        <w:rPr>
          <w:rFonts w:ascii="Bookman Old Style" w:hAnsi="Bookman Old Style" w:cs="Verdana"/>
          <w:sz w:val="22"/>
          <w:szCs w:val="22"/>
        </w:rPr>
        <w:t xml:space="preserve"> ultimo, il richiamo agli</w:t>
      </w:r>
      <w:r w:rsidR="008E2C63" w:rsidRPr="006E7C93">
        <w:rPr>
          <w:rFonts w:ascii="Bookman Old Style" w:hAnsi="Bookman Old Style" w:cs="Verdana"/>
          <w:sz w:val="22"/>
          <w:szCs w:val="22"/>
        </w:rPr>
        <w:t xml:space="preserve"> istituti della contrattazione decentrata</w:t>
      </w:r>
      <w:r w:rsidR="005364DE">
        <w:rPr>
          <w:rFonts w:ascii="Bookman Old Style" w:hAnsi="Bookman Old Style" w:cs="Verdana"/>
          <w:sz w:val="22"/>
          <w:szCs w:val="22"/>
        </w:rPr>
        <w:t xml:space="preserve"> non appare utile a sostenere </w:t>
      </w:r>
      <w:r>
        <w:rPr>
          <w:rFonts w:ascii="Bookman Old Style" w:hAnsi="Bookman Old Style" w:cs="Verdana"/>
          <w:sz w:val="22"/>
          <w:szCs w:val="22"/>
        </w:rPr>
        <w:t>un differente</w:t>
      </w:r>
      <w:r w:rsidR="005364DE">
        <w:rPr>
          <w:rFonts w:ascii="Bookman Old Style" w:hAnsi="Bookman Old Style" w:cs="Verdana"/>
          <w:sz w:val="22"/>
          <w:szCs w:val="22"/>
        </w:rPr>
        <w:t xml:space="preserve"> orientamento interpretativo</w:t>
      </w:r>
      <w:r w:rsidR="003E2095">
        <w:rPr>
          <w:rFonts w:ascii="Bookman Old Style" w:hAnsi="Bookman Old Style" w:cs="Verdana"/>
          <w:sz w:val="22"/>
          <w:szCs w:val="22"/>
        </w:rPr>
        <w:t>,</w:t>
      </w:r>
      <w:r w:rsidR="005364DE">
        <w:rPr>
          <w:rFonts w:ascii="Bookman Old Style" w:hAnsi="Bookman Old Style" w:cs="Verdana"/>
          <w:sz w:val="22"/>
          <w:szCs w:val="22"/>
        </w:rPr>
        <w:t xml:space="preserve"> </w:t>
      </w:r>
      <w:r w:rsidR="009561AA" w:rsidRPr="006E7C93">
        <w:rPr>
          <w:rFonts w:ascii="Bookman Old Style" w:hAnsi="Bookman Old Style" w:cs="Verdana"/>
          <w:sz w:val="22"/>
          <w:szCs w:val="22"/>
        </w:rPr>
        <w:t>in quanto anche la normativa precedente richiedeva il ricorso allo strumento collettivo per determinare ed erogare i compensi in esame.</w:t>
      </w:r>
    </w:p>
    <w:p w14:paraId="5FA74AFD" w14:textId="77777777" w:rsidR="00A57B5A" w:rsidRPr="006E7C93" w:rsidRDefault="00A57B5A" w:rsidP="00A57B5A">
      <w:pPr>
        <w:pStyle w:val="Corpotesto"/>
        <w:rPr>
          <w:rFonts w:ascii="Bookman Old Style" w:hAnsi="Bookman Old Style" w:cs="Verdana"/>
          <w:sz w:val="22"/>
          <w:szCs w:val="22"/>
        </w:rPr>
      </w:pPr>
    </w:p>
    <w:p w14:paraId="43BF4BE0" w14:textId="52D80BA2" w:rsidR="009561AA" w:rsidRPr="006E7C93" w:rsidRDefault="007718E3" w:rsidP="008E2C63">
      <w:pPr>
        <w:pStyle w:val="Corpotesto"/>
        <w:spacing w:line="480" w:lineRule="auto"/>
        <w:rPr>
          <w:rFonts w:ascii="Bookman Old Style" w:hAnsi="Bookman Old Style" w:cs="Verdana"/>
          <w:sz w:val="22"/>
          <w:szCs w:val="22"/>
        </w:rPr>
      </w:pPr>
      <w:r>
        <w:rPr>
          <w:rFonts w:ascii="Bookman Old Style" w:hAnsi="Bookman Old Style" w:cs="Verdana"/>
          <w:sz w:val="22"/>
          <w:szCs w:val="22"/>
        </w:rPr>
        <w:t>Tanto detto, s</w:t>
      </w:r>
      <w:r w:rsidR="00437F46" w:rsidRPr="006E7C93">
        <w:rPr>
          <w:rFonts w:ascii="Bookman Old Style" w:hAnsi="Bookman Old Style" w:cs="Verdana"/>
          <w:sz w:val="22"/>
          <w:szCs w:val="22"/>
        </w:rPr>
        <w:t xml:space="preserve">e il percorso interpretativo utilizzato dalla Sezione delle Autonomie non appare convincente, </w:t>
      </w:r>
      <w:r>
        <w:rPr>
          <w:rFonts w:ascii="Bookman Old Style" w:hAnsi="Bookman Old Style" w:cs="Verdana"/>
          <w:sz w:val="22"/>
          <w:szCs w:val="22"/>
        </w:rPr>
        <w:t>è necessario pervenire ad una più corretta s</w:t>
      </w:r>
      <w:r w:rsidR="00437F46" w:rsidRPr="006E7C93">
        <w:rPr>
          <w:rFonts w:ascii="Bookman Old Style" w:hAnsi="Bookman Old Style" w:cs="Verdana"/>
          <w:sz w:val="22"/>
          <w:szCs w:val="22"/>
        </w:rPr>
        <w:t>istemazione giuridica all’istituto degli incentivi tecnici di cui all’art. 113 del nuovo codice degli appalti.</w:t>
      </w:r>
    </w:p>
    <w:p w14:paraId="1CCE9A8E" w14:textId="30D6DA6B" w:rsidR="00437F46" w:rsidRPr="006E7C93" w:rsidRDefault="00437F46" w:rsidP="008E2C63">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L’analisi svolta sinora sembra evidenziare che l’istituto in esame </w:t>
      </w:r>
      <w:r w:rsidR="00C62A76">
        <w:rPr>
          <w:rFonts w:ascii="Bookman Old Style" w:hAnsi="Bookman Old Style" w:cs="Verdana"/>
          <w:sz w:val="22"/>
          <w:szCs w:val="22"/>
        </w:rPr>
        <w:t>abbia</w:t>
      </w:r>
      <w:r w:rsidR="007718E3">
        <w:rPr>
          <w:rFonts w:ascii="Bookman Old Style" w:hAnsi="Bookman Old Style" w:cs="Verdana"/>
          <w:sz w:val="22"/>
          <w:szCs w:val="22"/>
        </w:rPr>
        <w:t xml:space="preserve"> certamente</w:t>
      </w:r>
      <w:r w:rsidR="00C62A76">
        <w:rPr>
          <w:rFonts w:ascii="Bookman Old Style" w:hAnsi="Bookman Old Style" w:cs="Verdana"/>
          <w:sz w:val="22"/>
          <w:szCs w:val="22"/>
        </w:rPr>
        <w:t xml:space="preserve"> un respiro differente </w:t>
      </w:r>
      <w:r w:rsidRPr="006E7C93">
        <w:rPr>
          <w:rFonts w:ascii="Bookman Old Style" w:hAnsi="Bookman Old Style" w:cs="Verdana"/>
          <w:sz w:val="22"/>
          <w:szCs w:val="22"/>
        </w:rPr>
        <w:t xml:space="preserve">rispetto </w:t>
      </w:r>
      <w:r w:rsidR="007718E3">
        <w:rPr>
          <w:rFonts w:ascii="Bookman Old Style" w:hAnsi="Bookman Old Style" w:cs="Verdana"/>
          <w:sz w:val="22"/>
          <w:szCs w:val="22"/>
        </w:rPr>
        <w:t xml:space="preserve">a quello del </w:t>
      </w:r>
      <w:r w:rsidRPr="006E7C93">
        <w:rPr>
          <w:rFonts w:ascii="Bookman Old Style" w:hAnsi="Bookman Old Style" w:cs="Verdana"/>
          <w:sz w:val="22"/>
          <w:szCs w:val="22"/>
        </w:rPr>
        <w:t>vecchio testo dell’art. 93 del d.lgs. 163 del 20</w:t>
      </w:r>
      <w:r w:rsidR="00A57B5A">
        <w:rPr>
          <w:rFonts w:ascii="Bookman Old Style" w:hAnsi="Bookman Old Style" w:cs="Verdana"/>
          <w:sz w:val="22"/>
          <w:szCs w:val="22"/>
        </w:rPr>
        <w:t>0</w:t>
      </w:r>
      <w:r w:rsidRPr="006E7C93">
        <w:rPr>
          <w:rFonts w:ascii="Bookman Old Style" w:hAnsi="Bookman Old Style" w:cs="Verdana"/>
          <w:sz w:val="22"/>
          <w:szCs w:val="22"/>
        </w:rPr>
        <w:t>6, ma che</w:t>
      </w:r>
      <w:r w:rsidR="007718E3">
        <w:rPr>
          <w:rFonts w:ascii="Bookman Old Style" w:hAnsi="Bookman Old Style" w:cs="Verdana"/>
          <w:sz w:val="22"/>
          <w:szCs w:val="22"/>
        </w:rPr>
        <w:t xml:space="preserve">, tuttavia, </w:t>
      </w:r>
      <w:r w:rsidRPr="006E7C93">
        <w:rPr>
          <w:rFonts w:ascii="Bookman Old Style" w:hAnsi="Bookman Old Style" w:cs="Verdana"/>
          <w:sz w:val="22"/>
          <w:szCs w:val="22"/>
        </w:rPr>
        <w:t>ne rispetti le finalità.</w:t>
      </w:r>
    </w:p>
    <w:p w14:paraId="3D0C0CAF" w14:textId="435C2432" w:rsidR="0010275E" w:rsidRPr="006E7C93" w:rsidRDefault="00437F46" w:rsidP="00733EB1">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La volontà del legislatore è volta ad ottenere il miglior risultato possibile nell’esecuzione dei contratti pubblici. L’importanza di questi nella realizzazione </w:t>
      </w:r>
      <w:r w:rsidRPr="006E7C93">
        <w:rPr>
          <w:rFonts w:ascii="Bookman Old Style" w:hAnsi="Bookman Old Style" w:cs="Verdana"/>
          <w:sz w:val="22"/>
          <w:szCs w:val="22"/>
        </w:rPr>
        <w:lastRenderedPageBreak/>
        <w:t>dell’interesse pubblico</w:t>
      </w:r>
      <w:r w:rsidR="00C62A76">
        <w:rPr>
          <w:rFonts w:ascii="Bookman Old Style" w:hAnsi="Bookman Old Style" w:cs="Verdana"/>
          <w:sz w:val="22"/>
          <w:szCs w:val="22"/>
        </w:rPr>
        <w:t>,</w:t>
      </w:r>
      <w:r w:rsidRPr="006E7C93">
        <w:rPr>
          <w:rFonts w:ascii="Bookman Old Style" w:hAnsi="Bookman Old Style" w:cs="Verdana"/>
          <w:sz w:val="22"/>
          <w:szCs w:val="22"/>
        </w:rPr>
        <w:t xml:space="preserve"> nonché la rilevanza della spesa </w:t>
      </w:r>
      <w:r w:rsidR="004200D3" w:rsidRPr="006E7C93">
        <w:rPr>
          <w:rFonts w:ascii="Bookman Old Style" w:hAnsi="Bookman Old Style" w:cs="Verdana"/>
          <w:sz w:val="22"/>
          <w:szCs w:val="22"/>
        </w:rPr>
        <w:t xml:space="preserve">impegnata sui bilanci pubblici, ha spinto il </w:t>
      </w:r>
      <w:r w:rsidR="007718E3">
        <w:rPr>
          <w:rFonts w:ascii="Bookman Old Style" w:hAnsi="Bookman Old Style" w:cs="Verdana"/>
          <w:sz w:val="22"/>
          <w:szCs w:val="22"/>
        </w:rPr>
        <w:t>medesimo</w:t>
      </w:r>
      <w:r w:rsidR="004200D3" w:rsidRPr="006E7C93">
        <w:rPr>
          <w:rFonts w:ascii="Bookman Old Style" w:hAnsi="Bookman Old Style" w:cs="Verdana"/>
          <w:sz w:val="22"/>
          <w:szCs w:val="22"/>
        </w:rPr>
        <w:t xml:space="preserve"> </w:t>
      </w:r>
      <w:r w:rsidR="003A3EF8" w:rsidRPr="006E7C93">
        <w:rPr>
          <w:rFonts w:ascii="Bookman Old Style" w:hAnsi="Bookman Old Style" w:cs="Verdana"/>
          <w:sz w:val="22"/>
          <w:szCs w:val="22"/>
        </w:rPr>
        <w:t xml:space="preserve">a </w:t>
      </w:r>
      <w:r w:rsidR="004200D3" w:rsidRPr="006E7C93">
        <w:rPr>
          <w:rFonts w:ascii="Bookman Old Style" w:hAnsi="Bookman Old Style" w:cs="Verdana"/>
          <w:sz w:val="22"/>
          <w:szCs w:val="22"/>
        </w:rPr>
        <w:t xml:space="preserve">coinvolgere le risorse interne degli enti </w:t>
      </w:r>
      <w:r w:rsidR="0034580D" w:rsidRPr="006E7C93">
        <w:rPr>
          <w:rFonts w:ascii="Bookman Old Style" w:hAnsi="Bookman Old Style" w:cs="Verdana"/>
          <w:sz w:val="22"/>
          <w:szCs w:val="22"/>
        </w:rPr>
        <w:t>al fine di ottenere la massima soddisfazione dall’esecuzione del contratto (sia di lavori, forniture o servizi), con il miglior coinvolgimento delle risorse interne.</w:t>
      </w:r>
    </w:p>
    <w:p w14:paraId="124F59E9" w14:textId="2D1ECA52" w:rsidR="0034580D" w:rsidRPr="006E7C93" w:rsidRDefault="0034580D" w:rsidP="00733EB1">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L’incentivo in esame mira a realizzare </w:t>
      </w:r>
      <w:r w:rsidR="007718E3">
        <w:rPr>
          <w:rFonts w:ascii="Bookman Old Style" w:hAnsi="Bookman Old Style" w:cs="Verdana"/>
          <w:sz w:val="22"/>
          <w:szCs w:val="22"/>
        </w:rPr>
        <w:t>un siffatto</w:t>
      </w:r>
      <w:r w:rsidRPr="006E7C93">
        <w:rPr>
          <w:rFonts w:ascii="Bookman Old Style" w:hAnsi="Bookman Old Style" w:cs="Verdana"/>
          <w:sz w:val="22"/>
          <w:szCs w:val="22"/>
        </w:rPr>
        <w:t xml:space="preserve"> scopo, al di là </w:t>
      </w:r>
      <w:r w:rsidR="009A652A">
        <w:rPr>
          <w:rFonts w:ascii="Bookman Old Style" w:hAnsi="Bookman Old Style" w:cs="Verdana"/>
          <w:sz w:val="22"/>
          <w:szCs w:val="22"/>
        </w:rPr>
        <w:t xml:space="preserve">del fatto </w:t>
      </w:r>
      <w:r w:rsidRPr="006E7C93">
        <w:rPr>
          <w:rFonts w:ascii="Bookman Old Style" w:hAnsi="Bookman Old Style" w:cs="Verdana"/>
          <w:sz w:val="22"/>
          <w:szCs w:val="22"/>
        </w:rPr>
        <w:t xml:space="preserve">che la prestazione sia annoverabile tra le spese correnti o di investimento, </w:t>
      </w:r>
      <w:r w:rsidR="00C62A76">
        <w:rPr>
          <w:rFonts w:ascii="Bookman Old Style" w:hAnsi="Bookman Old Style" w:cs="Verdana"/>
          <w:sz w:val="22"/>
          <w:szCs w:val="22"/>
        </w:rPr>
        <w:t>o sia</w:t>
      </w:r>
      <w:r w:rsidR="003A3EF8" w:rsidRPr="006E7C93">
        <w:rPr>
          <w:rFonts w:ascii="Bookman Old Style" w:hAnsi="Bookman Old Style" w:cs="Verdana"/>
          <w:sz w:val="22"/>
          <w:szCs w:val="22"/>
        </w:rPr>
        <w:t xml:space="preserve"> fungibile </w:t>
      </w:r>
      <w:r w:rsidR="009A652A">
        <w:rPr>
          <w:rFonts w:ascii="Bookman Old Style" w:hAnsi="Bookman Old Style" w:cs="Verdana"/>
          <w:sz w:val="22"/>
          <w:szCs w:val="22"/>
        </w:rPr>
        <w:t xml:space="preserve">rispetto al </w:t>
      </w:r>
      <w:r w:rsidR="003A3EF8" w:rsidRPr="006E7C93">
        <w:rPr>
          <w:rFonts w:ascii="Bookman Old Style" w:hAnsi="Bookman Old Style" w:cs="Verdana"/>
          <w:sz w:val="22"/>
          <w:szCs w:val="22"/>
        </w:rPr>
        <w:t xml:space="preserve">ricorso </w:t>
      </w:r>
      <w:r w:rsidRPr="006E7C93">
        <w:rPr>
          <w:rFonts w:ascii="Bookman Old Style" w:hAnsi="Bookman Old Style" w:cs="Verdana"/>
          <w:sz w:val="22"/>
          <w:szCs w:val="22"/>
        </w:rPr>
        <w:t>a personale esterno.</w:t>
      </w:r>
    </w:p>
    <w:p w14:paraId="09390C4D" w14:textId="6D3DF0A2" w:rsidR="000E726F" w:rsidRPr="006E7C93" w:rsidRDefault="009D25CA" w:rsidP="00733EB1">
      <w:pPr>
        <w:pStyle w:val="Corpotesto"/>
        <w:spacing w:line="480" w:lineRule="auto"/>
        <w:rPr>
          <w:rFonts w:ascii="Bookman Old Style" w:hAnsi="Bookman Old Style" w:cs="Verdana"/>
          <w:sz w:val="22"/>
          <w:szCs w:val="22"/>
        </w:rPr>
      </w:pPr>
      <w:r>
        <w:rPr>
          <w:rFonts w:ascii="Bookman Old Style" w:hAnsi="Bookman Old Style" w:cs="Verdana"/>
          <w:sz w:val="22"/>
          <w:szCs w:val="22"/>
        </w:rPr>
        <w:t>È</w:t>
      </w:r>
      <w:r w:rsidR="00A0395D">
        <w:rPr>
          <w:rFonts w:ascii="Bookman Old Style" w:hAnsi="Bookman Old Style" w:cs="Verdana"/>
          <w:sz w:val="22"/>
          <w:szCs w:val="22"/>
        </w:rPr>
        <w:t xml:space="preserve"> e</w:t>
      </w:r>
      <w:r w:rsidR="0034580D" w:rsidRPr="006E7C93">
        <w:rPr>
          <w:rFonts w:ascii="Bookman Old Style" w:hAnsi="Bookman Old Style" w:cs="Verdana"/>
          <w:sz w:val="22"/>
          <w:szCs w:val="22"/>
        </w:rPr>
        <w:t xml:space="preserve">vidente che, così concepita la norma, </w:t>
      </w:r>
      <w:r w:rsidR="00A0395D">
        <w:rPr>
          <w:rFonts w:ascii="Bookman Old Style" w:hAnsi="Bookman Old Style" w:cs="Verdana"/>
          <w:sz w:val="22"/>
          <w:szCs w:val="22"/>
        </w:rPr>
        <w:t>sia</w:t>
      </w:r>
      <w:r w:rsidR="00C547AD" w:rsidRPr="006E7C93">
        <w:rPr>
          <w:rFonts w:ascii="Bookman Old Style" w:hAnsi="Bookman Old Style" w:cs="Verdana"/>
          <w:sz w:val="22"/>
          <w:szCs w:val="22"/>
        </w:rPr>
        <w:t xml:space="preserve"> possibile escludere gli incentivi in esame dal computo della spesa rilevante ai fini del tetto </w:t>
      </w:r>
      <w:r w:rsidR="00E86CA5">
        <w:rPr>
          <w:rFonts w:ascii="Bookman Old Style" w:hAnsi="Bookman Old Style" w:cs="Verdana"/>
          <w:sz w:val="22"/>
          <w:szCs w:val="22"/>
        </w:rPr>
        <w:t>di cui al comma 557 citato</w:t>
      </w:r>
      <w:r w:rsidR="00C547AD" w:rsidRPr="006E7C93">
        <w:rPr>
          <w:rFonts w:ascii="Bookman Old Style" w:hAnsi="Bookman Old Style" w:cs="Verdana"/>
          <w:sz w:val="22"/>
          <w:szCs w:val="22"/>
        </w:rPr>
        <w:t>, assumendo la fattispecie in esame un carattere di specialità anche rispetto alle risorse accessorie che si rinvengono nel fondo per la contrattazione decentrata.</w:t>
      </w:r>
    </w:p>
    <w:p w14:paraId="6C99927A" w14:textId="7CF51F4C" w:rsidR="005D6523" w:rsidRPr="006E7C93" w:rsidRDefault="00C547AD" w:rsidP="005D2A78">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Tale specialità no</w:t>
      </w:r>
      <w:r w:rsidR="001170A6">
        <w:rPr>
          <w:rFonts w:ascii="Bookman Old Style" w:hAnsi="Bookman Old Style" w:cs="Verdana"/>
          <w:sz w:val="22"/>
          <w:szCs w:val="22"/>
        </w:rPr>
        <w:t>n sarebbe, però, da sola suffic</w:t>
      </w:r>
      <w:r w:rsidR="00FC22AB">
        <w:rPr>
          <w:rFonts w:ascii="Bookman Old Style" w:hAnsi="Bookman Old Style" w:cs="Verdana"/>
          <w:sz w:val="22"/>
          <w:szCs w:val="22"/>
        </w:rPr>
        <w:t>i</w:t>
      </w:r>
      <w:r w:rsidRPr="006E7C93">
        <w:rPr>
          <w:rFonts w:ascii="Bookman Old Style" w:hAnsi="Bookman Old Style" w:cs="Verdana"/>
          <w:sz w:val="22"/>
          <w:szCs w:val="22"/>
        </w:rPr>
        <w:t>ente ad escludere la rilevanza degli incentivi ai fini del computo dei tetti di spesa</w:t>
      </w:r>
      <w:r w:rsidR="00A0395D">
        <w:rPr>
          <w:rFonts w:ascii="Bookman Old Style" w:hAnsi="Bookman Old Style" w:cs="Verdana"/>
          <w:sz w:val="22"/>
          <w:szCs w:val="22"/>
        </w:rPr>
        <w:t>,</w:t>
      </w:r>
      <w:r w:rsidRPr="006E7C93">
        <w:rPr>
          <w:rFonts w:ascii="Bookman Old Style" w:hAnsi="Bookman Old Style" w:cs="Verdana"/>
          <w:sz w:val="22"/>
          <w:szCs w:val="22"/>
        </w:rPr>
        <w:t xml:space="preserve"> qualora il quadro normativo non contenesse le regole che consentano di determinare e contenere la spesa del personale, evitando che la stessa assuma un carattere incontrollato.</w:t>
      </w:r>
    </w:p>
    <w:p w14:paraId="5A954E7A" w14:textId="31DB5BAE" w:rsidR="005D2A78" w:rsidRPr="006E7C93" w:rsidRDefault="00A57B5A" w:rsidP="005D2A78">
      <w:pPr>
        <w:pStyle w:val="Corpotesto"/>
        <w:spacing w:line="480" w:lineRule="auto"/>
        <w:rPr>
          <w:rFonts w:ascii="Bookman Old Style" w:hAnsi="Bookman Old Style" w:cs="Verdana"/>
          <w:sz w:val="22"/>
          <w:szCs w:val="22"/>
        </w:rPr>
      </w:pPr>
      <w:r>
        <w:rPr>
          <w:rFonts w:ascii="Bookman Old Style" w:hAnsi="Bookman Old Style" w:cs="Verdana"/>
          <w:sz w:val="22"/>
          <w:szCs w:val="22"/>
        </w:rPr>
        <w:t>Al riguardo va evidenziato che l</w:t>
      </w:r>
      <w:r w:rsidR="00C547AD" w:rsidRPr="006E7C93">
        <w:rPr>
          <w:rFonts w:ascii="Bookman Old Style" w:hAnsi="Bookman Old Style" w:cs="Verdana"/>
          <w:sz w:val="22"/>
          <w:szCs w:val="22"/>
        </w:rPr>
        <w:t>a disciplina in esame</w:t>
      </w:r>
      <w:r w:rsidR="005D6523" w:rsidRPr="006E7C93">
        <w:rPr>
          <w:rFonts w:ascii="Bookman Old Style" w:hAnsi="Bookman Old Style" w:cs="Verdana"/>
          <w:sz w:val="22"/>
          <w:szCs w:val="22"/>
        </w:rPr>
        <w:t>, in verità,</w:t>
      </w:r>
      <w:r w:rsidR="00C547AD" w:rsidRPr="006E7C93">
        <w:rPr>
          <w:rFonts w:ascii="Bookman Old Style" w:hAnsi="Bookman Old Style" w:cs="Verdana"/>
          <w:sz w:val="22"/>
          <w:szCs w:val="22"/>
        </w:rPr>
        <w:t xml:space="preserve"> fissa criteri e limiti che autolimitano la spesa per incentivi. Criteri e limiti in numero rilevante </w:t>
      </w:r>
      <w:r w:rsidR="003069AF">
        <w:rPr>
          <w:rFonts w:ascii="Bookman Old Style" w:hAnsi="Bookman Old Style" w:cs="Verdana"/>
          <w:sz w:val="22"/>
          <w:szCs w:val="22"/>
        </w:rPr>
        <w:t xml:space="preserve">che si riportano </w:t>
      </w:r>
      <w:r w:rsidR="00C547AD" w:rsidRPr="006E7C93">
        <w:rPr>
          <w:rFonts w:ascii="Bookman Old Style" w:hAnsi="Bookman Old Style" w:cs="Verdana"/>
          <w:sz w:val="22"/>
          <w:szCs w:val="22"/>
        </w:rPr>
        <w:t>di seguito</w:t>
      </w:r>
      <w:r w:rsidR="003069AF">
        <w:rPr>
          <w:rFonts w:ascii="Bookman Old Style" w:hAnsi="Bookman Old Style" w:cs="Verdana"/>
          <w:sz w:val="22"/>
          <w:szCs w:val="22"/>
        </w:rPr>
        <w:t>:</w:t>
      </w:r>
      <w:r w:rsidR="00C547AD" w:rsidRPr="006E7C93">
        <w:rPr>
          <w:rFonts w:ascii="Bookman Old Style" w:hAnsi="Bookman Old Style" w:cs="Verdana"/>
          <w:sz w:val="22"/>
          <w:szCs w:val="22"/>
        </w:rPr>
        <w:t xml:space="preserve"> </w:t>
      </w:r>
    </w:p>
    <w:p w14:paraId="2CF07769" w14:textId="1C02EAF0" w:rsidR="005D6523" w:rsidRPr="006E7C93" w:rsidRDefault="005D2A78" w:rsidP="009D25CA">
      <w:pPr>
        <w:pStyle w:val="Corpotesto"/>
        <w:spacing w:line="480" w:lineRule="auto"/>
        <w:ind w:left="567" w:hanging="283"/>
        <w:rPr>
          <w:rFonts w:ascii="Bookman Old Style" w:hAnsi="Bookman Old Style" w:cs="Verdana"/>
          <w:sz w:val="22"/>
          <w:szCs w:val="22"/>
        </w:rPr>
      </w:pPr>
      <w:r w:rsidRPr="006E7C93">
        <w:rPr>
          <w:rFonts w:ascii="Bookman Old Style" w:hAnsi="Bookman Old Style" w:cs="Verdana"/>
          <w:sz w:val="22"/>
          <w:szCs w:val="22"/>
        </w:rPr>
        <w:t xml:space="preserve">1) </w:t>
      </w:r>
      <w:r w:rsidR="00C0170A">
        <w:rPr>
          <w:rFonts w:ascii="Bookman Old Style" w:hAnsi="Bookman Old Style" w:cs="Verdana"/>
          <w:sz w:val="22"/>
          <w:szCs w:val="22"/>
        </w:rPr>
        <w:t>i</w:t>
      </w:r>
      <w:r w:rsidRPr="006E7C93">
        <w:rPr>
          <w:rFonts w:ascii="Bookman Old Style" w:hAnsi="Bookman Old Style" w:cs="Verdana"/>
          <w:sz w:val="22"/>
          <w:szCs w:val="22"/>
        </w:rPr>
        <w:t xml:space="preserve">l fondo incentivante deve trovare copertura </w:t>
      </w:r>
      <w:r w:rsidR="003069AF">
        <w:rPr>
          <w:rFonts w:ascii="Bookman Old Style" w:hAnsi="Bookman Old Style" w:cs="Verdana"/>
          <w:sz w:val="22"/>
          <w:szCs w:val="22"/>
        </w:rPr>
        <w:t>ne</w:t>
      </w:r>
      <w:r w:rsidRPr="006E7C93">
        <w:rPr>
          <w:rFonts w:ascii="Bookman Old Style" w:hAnsi="Bookman Old Style" w:cs="Verdana"/>
          <w:sz w:val="22"/>
          <w:szCs w:val="22"/>
        </w:rPr>
        <w:t>gli stanziamenti previsti per la realizzazione dei singoli lavori negli stati di previsione della spesa o nei bilanci delle stazioni appaltanti</w:t>
      </w:r>
      <w:r w:rsidR="005D6523" w:rsidRPr="006E7C93">
        <w:rPr>
          <w:rFonts w:ascii="Bookman Old Style" w:hAnsi="Bookman Old Style" w:cs="Verdana"/>
          <w:sz w:val="22"/>
          <w:szCs w:val="22"/>
        </w:rPr>
        <w:t xml:space="preserve"> (comma 2). Pertanto, il quadro economico determinato per il singol</w:t>
      </w:r>
      <w:r w:rsidR="00FA0934">
        <w:rPr>
          <w:rFonts w:ascii="Bookman Old Style" w:hAnsi="Bookman Old Style" w:cs="Verdana"/>
          <w:sz w:val="22"/>
          <w:szCs w:val="22"/>
        </w:rPr>
        <w:t>o lavoro (o fornitura/servizio)</w:t>
      </w:r>
      <w:r w:rsidR="005D6523" w:rsidRPr="006E7C93">
        <w:rPr>
          <w:rFonts w:ascii="Bookman Old Style" w:hAnsi="Bookman Old Style" w:cs="Verdana"/>
          <w:sz w:val="22"/>
          <w:szCs w:val="22"/>
        </w:rPr>
        <w:t xml:space="preserve"> costituisce il primo e più importante limite alla spesa per gli incentivi tecnici, poiché il 2% richiamato dalla norma viene calcolato sulle somme predeterminate per il contratto da stipulare, non incide</w:t>
      </w:r>
      <w:r w:rsidR="003069AF">
        <w:rPr>
          <w:rFonts w:ascii="Bookman Old Style" w:hAnsi="Bookman Old Style" w:cs="Verdana"/>
          <w:sz w:val="22"/>
          <w:szCs w:val="22"/>
        </w:rPr>
        <w:t>ndo</w:t>
      </w:r>
      <w:r w:rsidR="005D6523" w:rsidRPr="006E7C93">
        <w:rPr>
          <w:rFonts w:ascii="Bookman Old Style" w:hAnsi="Bookman Old Style" w:cs="Verdana"/>
          <w:sz w:val="22"/>
          <w:szCs w:val="22"/>
        </w:rPr>
        <w:t xml:space="preserve"> su ulteriori stanziamenti di bilancio. </w:t>
      </w:r>
      <w:r w:rsidR="005D6523" w:rsidRPr="006E7C93">
        <w:rPr>
          <w:rFonts w:ascii="Bookman Old Style" w:hAnsi="Bookman Old Style" w:cs="Verdana"/>
          <w:sz w:val="22"/>
          <w:szCs w:val="22"/>
        </w:rPr>
        <w:lastRenderedPageBreak/>
        <w:t>Ed ancora, tali risorse finanziarie non sono prefissate nell’ammontare massimo</w:t>
      </w:r>
      <w:r w:rsidR="00DE084D" w:rsidRPr="006E7C93">
        <w:rPr>
          <w:rFonts w:ascii="Bookman Old Style" w:hAnsi="Bookman Old Style" w:cs="Verdana"/>
          <w:sz w:val="22"/>
          <w:szCs w:val="22"/>
        </w:rPr>
        <w:t>,</w:t>
      </w:r>
      <w:r w:rsidR="005D6523" w:rsidRPr="006E7C93">
        <w:rPr>
          <w:rFonts w:ascii="Bookman Old Style" w:hAnsi="Bookman Old Style" w:cs="Verdana"/>
          <w:sz w:val="22"/>
          <w:szCs w:val="22"/>
        </w:rPr>
        <w:t xml:space="preserve"> ma vanno modulate sull'importo dei lavori posti a base di gara</w:t>
      </w:r>
      <w:r w:rsidR="003069AF">
        <w:rPr>
          <w:rFonts w:ascii="Bookman Old Style" w:hAnsi="Bookman Old Style" w:cs="Verdana"/>
          <w:sz w:val="22"/>
          <w:szCs w:val="22"/>
        </w:rPr>
        <w:t>,</w:t>
      </w:r>
      <w:r w:rsidR="005D6523" w:rsidRPr="006E7C93">
        <w:rPr>
          <w:rFonts w:ascii="Bookman Old Style" w:hAnsi="Bookman Old Style" w:cs="Verdana"/>
          <w:sz w:val="22"/>
          <w:szCs w:val="22"/>
        </w:rPr>
        <w:t xml:space="preserve"> potendo essere calcolate in misura inferiore in base alla tipologi</w:t>
      </w:r>
      <w:r w:rsidR="003069AF">
        <w:rPr>
          <w:rFonts w:ascii="Bookman Old Style" w:hAnsi="Bookman Old Style" w:cs="Verdana"/>
          <w:sz w:val="22"/>
          <w:szCs w:val="22"/>
        </w:rPr>
        <w:t xml:space="preserve">a di lavoro, servizio e </w:t>
      </w:r>
      <w:r w:rsidR="005D6523" w:rsidRPr="006E7C93">
        <w:rPr>
          <w:rFonts w:ascii="Bookman Old Style" w:hAnsi="Bookman Old Style" w:cs="Verdana"/>
          <w:sz w:val="22"/>
          <w:szCs w:val="22"/>
        </w:rPr>
        <w:t>fornitura da espletare</w:t>
      </w:r>
      <w:r w:rsidR="00A57B5A">
        <w:rPr>
          <w:rFonts w:ascii="Bookman Old Style" w:hAnsi="Bookman Old Style" w:cs="Verdana"/>
          <w:sz w:val="22"/>
          <w:szCs w:val="22"/>
        </w:rPr>
        <w:t>;</w:t>
      </w:r>
    </w:p>
    <w:p w14:paraId="2021CFDD" w14:textId="3602ECCF" w:rsidR="005D6523" w:rsidRPr="006E7C93" w:rsidRDefault="005D6523" w:rsidP="009D25CA">
      <w:pPr>
        <w:pStyle w:val="Corpotesto"/>
        <w:spacing w:line="480" w:lineRule="auto"/>
        <w:ind w:left="567" w:hanging="283"/>
        <w:rPr>
          <w:rFonts w:ascii="Bookman Old Style" w:hAnsi="Bookman Old Style" w:cs="Verdana"/>
          <w:sz w:val="22"/>
          <w:szCs w:val="22"/>
        </w:rPr>
      </w:pPr>
      <w:r w:rsidRPr="006E7C93">
        <w:rPr>
          <w:rFonts w:ascii="Bookman Old Style" w:hAnsi="Bookman Old Style" w:cs="Verdana"/>
          <w:sz w:val="22"/>
          <w:szCs w:val="22"/>
        </w:rPr>
        <w:t>2)</w:t>
      </w:r>
      <w:r w:rsidR="00FD48EB" w:rsidRPr="006E7C93">
        <w:rPr>
          <w:rFonts w:ascii="Bookman Old Style" w:hAnsi="Bookman Old Style" w:cs="Verdana"/>
          <w:sz w:val="22"/>
          <w:szCs w:val="22"/>
        </w:rPr>
        <w:t xml:space="preserve"> </w:t>
      </w:r>
      <w:r w:rsidR="00C0170A">
        <w:rPr>
          <w:rFonts w:ascii="Bookman Old Style" w:hAnsi="Bookman Old Style" w:cs="Verdana"/>
          <w:sz w:val="22"/>
          <w:szCs w:val="22"/>
        </w:rPr>
        <w:t>a</w:t>
      </w:r>
      <w:r w:rsidR="00FD48EB" w:rsidRPr="006E7C93">
        <w:rPr>
          <w:rFonts w:ascii="Bookman Old Style" w:hAnsi="Bookman Old Style" w:cs="Verdana"/>
          <w:sz w:val="22"/>
          <w:szCs w:val="22"/>
        </w:rPr>
        <w:t>ltro limite individuato dalla norma, forse il più rilevante, è disposto dal comma 3</w:t>
      </w:r>
      <w:r w:rsidR="005E0A3A">
        <w:rPr>
          <w:rFonts w:ascii="Bookman Old Style" w:hAnsi="Bookman Old Style" w:cs="Verdana"/>
          <w:sz w:val="22"/>
          <w:szCs w:val="22"/>
        </w:rPr>
        <w:t xml:space="preserve">, che prescrive che </w:t>
      </w:r>
      <w:r w:rsidR="00FD48EB" w:rsidRPr="006E7C93">
        <w:rPr>
          <w:rFonts w:ascii="Bookman Old Style" w:hAnsi="Bookman Old Style" w:cs="Verdana"/>
          <w:sz w:val="22"/>
          <w:szCs w:val="22"/>
        </w:rPr>
        <w:t>gli incentivi complessivamente corrisposti nel corso dell'anno al singolo dipendente (anche da diverse amministrazioni) non poss</w:t>
      </w:r>
      <w:r w:rsidR="00E25BF6">
        <w:rPr>
          <w:rFonts w:ascii="Bookman Old Style" w:hAnsi="Bookman Old Style" w:cs="Verdana"/>
          <w:sz w:val="22"/>
          <w:szCs w:val="22"/>
        </w:rPr>
        <w:t>a</w:t>
      </w:r>
      <w:r w:rsidR="00FD48EB" w:rsidRPr="006E7C93">
        <w:rPr>
          <w:rFonts w:ascii="Bookman Old Style" w:hAnsi="Bookman Old Style" w:cs="Verdana"/>
          <w:sz w:val="22"/>
          <w:szCs w:val="22"/>
        </w:rPr>
        <w:t xml:space="preserve">no superare l'importo del 50 per cento del trattamento economico complessivo annuo lordo. Tale importo assume </w:t>
      </w:r>
      <w:r w:rsidR="008C6CFF">
        <w:rPr>
          <w:rFonts w:ascii="Bookman Old Style" w:hAnsi="Bookman Old Style" w:cs="Verdana"/>
          <w:sz w:val="22"/>
          <w:szCs w:val="22"/>
        </w:rPr>
        <w:t xml:space="preserve">la valenza di </w:t>
      </w:r>
      <w:r w:rsidR="00FD48EB" w:rsidRPr="006E7C93">
        <w:rPr>
          <w:rFonts w:ascii="Bookman Old Style" w:hAnsi="Bookman Old Style" w:cs="Verdana"/>
          <w:sz w:val="22"/>
          <w:szCs w:val="22"/>
        </w:rPr>
        <w:t xml:space="preserve">tetto di spesa individuale </w:t>
      </w:r>
      <w:r w:rsidR="008C6CFF">
        <w:rPr>
          <w:rFonts w:ascii="Bookman Old Style" w:hAnsi="Bookman Old Style" w:cs="Verdana"/>
          <w:sz w:val="22"/>
          <w:szCs w:val="22"/>
        </w:rPr>
        <w:t xml:space="preserve">invalicabile </w:t>
      </w:r>
      <w:r w:rsidR="00FD48EB" w:rsidRPr="006E7C93">
        <w:rPr>
          <w:rFonts w:ascii="Bookman Old Style" w:hAnsi="Bookman Old Style" w:cs="Verdana"/>
          <w:sz w:val="22"/>
          <w:szCs w:val="22"/>
        </w:rPr>
        <w:t>a fronte del quale nessun dipendente pubblico può percepire somme superiori al limite indicato</w:t>
      </w:r>
      <w:r w:rsidR="00A57B5A">
        <w:rPr>
          <w:rFonts w:ascii="Bookman Old Style" w:hAnsi="Bookman Old Style" w:cs="Verdana"/>
          <w:sz w:val="22"/>
          <w:szCs w:val="22"/>
        </w:rPr>
        <w:t>;</w:t>
      </w:r>
    </w:p>
    <w:p w14:paraId="4D95FB92" w14:textId="4A7C0EB3" w:rsidR="00A57B5A" w:rsidRDefault="00C0170A" w:rsidP="009D25CA">
      <w:pPr>
        <w:pStyle w:val="Corpotesto"/>
        <w:spacing w:line="480" w:lineRule="auto"/>
        <w:ind w:left="567" w:hanging="283"/>
        <w:rPr>
          <w:rFonts w:ascii="Bookman Old Style" w:hAnsi="Bookman Old Style" w:cs="Verdana"/>
          <w:sz w:val="22"/>
          <w:szCs w:val="22"/>
        </w:rPr>
      </w:pPr>
      <w:r>
        <w:rPr>
          <w:rFonts w:ascii="Bookman Old Style" w:hAnsi="Bookman Old Style" w:cs="Verdana"/>
          <w:sz w:val="22"/>
          <w:szCs w:val="22"/>
        </w:rPr>
        <w:t>3) i</w:t>
      </w:r>
      <w:r w:rsidR="00FD48EB" w:rsidRPr="006E7C93">
        <w:rPr>
          <w:rFonts w:ascii="Bookman Old Style" w:hAnsi="Bookman Old Style" w:cs="Verdana"/>
          <w:sz w:val="22"/>
          <w:szCs w:val="22"/>
        </w:rPr>
        <w:t xml:space="preserve">noltre, modalità e criteri di ripartizione del fondo sono previsti in sede di contrattazione decentrata integrativa del personale, sulla base di apposito regolamento adottato dalle amministrazioni secondo i rispettivi ordinamenti. Ebbene, il regolamento è lo strumento utile al fine di verificare, anche da parte dei giudici contabili, che gli incentivi non vengano distribuiti a pioggia ma realizzando una finalità realmente incentivante </w:t>
      </w:r>
      <w:r w:rsidR="00A57B5A">
        <w:rPr>
          <w:rFonts w:ascii="Bookman Old Style" w:hAnsi="Bookman Old Style" w:cs="Verdana"/>
          <w:sz w:val="22"/>
          <w:szCs w:val="22"/>
        </w:rPr>
        <w:t>che tenga conto delle</w:t>
      </w:r>
      <w:r w:rsidR="00FD48EB" w:rsidRPr="006E7C93">
        <w:rPr>
          <w:rFonts w:ascii="Bookman Old Style" w:hAnsi="Bookman Old Style" w:cs="Verdana"/>
          <w:sz w:val="22"/>
          <w:szCs w:val="22"/>
        </w:rPr>
        <w:t xml:space="preserve"> attività concretame</w:t>
      </w:r>
      <w:r w:rsidR="00CC7AB2" w:rsidRPr="006E7C93">
        <w:rPr>
          <w:rFonts w:ascii="Bookman Old Style" w:hAnsi="Bookman Old Style" w:cs="Verdana"/>
          <w:sz w:val="22"/>
          <w:szCs w:val="22"/>
        </w:rPr>
        <w:t>nte svolt</w:t>
      </w:r>
      <w:r w:rsidR="00A57B5A">
        <w:rPr>
          <w:rFonts w:ascii="Bookman Old Style" w:hAnsi="Bookman Old Style" w:cs="Verdana"/>
          <w:sz w:val="22"/>
          <w:szCs w:val="22"/>
        </w:rPr>
        <w:t>e</w:t>
      </w:r>
      <w:r w:rsidR="00CC7AB2" w:rsidRPr="006E7C93">
        <w:rPr>
          <w:rFonts w:ascii="Bookman Old Style" w:hAnsi="Bookman Old Style" w:cs="Verdana"/>
          <w:sz w:val="22"/>
          <w:szCs w:val="22"/>
        </w:rPr>
        <w:t>.</w:t>
      </w:r>
      <w:r w:rsidR="00196B6E">
        <w:rPr>
          <w:rFonts w:ascii="Bookman Old Style" w:hAnsi="Bookman Old Style" w:cs="Verdana"/>
          <w:sz w:val="22"/>
          <w:szCs w:val="22"/>
        </w:rPr>
        <w:t xml:space="preserve"> Tanto è vero che</w:t>
      </w:r>
      <w:r w:rsidR="00CC7AB2" w:rsidRPr="006E7C93">
        <w:rPr>
          <w:rFonts w:ascii="Bookman Old Style" w:hAnsi="Bookman Old Style" w:cs="Verdana"/>
          <w:sz w:val="22"/>
          <w:szCs w:val="22"/>
        </w:rPr>
        <w:t>, sempre ai sensi del terzo comma, l</w:t>
      </w:r>
      <w:r w:rsidR="00FD48EB" w:rsidRPr="006E7C93">
        <w:rPr>
          <w:rFonts w:ascii="Bookman Old Style" w:hAnsi="Bookman Old Style" w:cs="Verdana"/>
          <w:sz w:val="22"/>
          <w:szCs w:val="22"/>
        </w:rPr>
        <w:t>a c</w:t>
      </w:r>
      <w:r w:rsidR="00CC7AB2" w:rsidRPr="006E7C93">
        <w:rPr>
          <w:rFonts w:ascii="Bookman Old Style" w:hAnsi="Bookman Old Style" w:cs="Verdana"/>
          <w:sz w:val="22"/>
          <w:szCs w:val="22"/>
        </w:rPr>
        <w:t>orresponsione dell'incentivo “</w:t>
      </w:r>
      <w:r w:rsidR="00CC7AB2" w:rsidRPr="006E7C93">
        <w:rPr>
          <w:rFonts w:ascii="Bookman Old Style" w:hAnsi="Bookman Old Style" w:cs="Verdana"/>
          <w:i/>
          <w:sz w:val="22"/>
          <w:szCs w:val="22"/>
        </w:rPr>
        <w:t xml:space="preserve">è </w:t>
      </w:r>
      <w:r w:rsidR="00FD48EB" w:rsidRPr="006E7C93">
        <w:rPr>
          <w:rFonts w:ascii="Bookman Old Style" w:hAnsi="Bookman Old Style" w:cs="Verdana"/>
          <w:i/>
          <w:sz w:val="22"/>
          <w:szCs w:val="22"/>
        </w:rPr>
        <w:t>disposta dal dirigente o dal res</w:t>
      </w:r>
      <w:r w:rsidR="00FA0934">
        <w:rPr>
          <w:rFonts w:ascii="Bookman Old Style" w:hAnsi="Bookman Old Style" w:cs="Verdana"/>
          <w:i/>
          <w:sz w:val="22"/>
          <w:szCs w:val="22"/>
        </w:rPr>
        <w:t>ponsabile del</w:t>
      </w:r>
      <w:r w:rsidR="00CC7AB2" w:rsidRPr="006E7C93">
        <w:rPr>
          <w:rFonts w:ascii="Bookman Old Style" w:hAnsi="Bookman Old Style" w:cs="Verdana"/>
          <w:i/>
          <w:sz w:val="22"/>
          <w:szCs w:val="22"/>
        </w:rPr>
        <w:t xml:space="preserve"> servizio preposto</w:t>
      </w:r>
      <w:r w:rsidR="00FD48EB" w:rsidRPr="006E7C93">
        <w:rPr>
          <w:rFonts w:ascii="Bookman Old Style" w:hAnsi="Bookman Old Style" w:cs="Verdana"/>
          <w:i/>
          <w:sz w:val="22"/>
          <w:szCs w:val="22"/>
        </w:rPr>
        <w:t xml:space="preserve"> alla</w:t>
      </w:r>
      <w:r w:rsidR="00CC7AB2" w:rsidRPr="006E7C93">
        <w:rPr>
          <w:rFonts w:ascii="Bookman Old Style" w:hAnsi="Bookman Old Style" w:cs="Verdana"/>
          <w:i/>
          <w:sz w:val="22"/>
          <w:szCs w:val="22"/>
        </w:rPr>
        <w:t xml:space="preserve"> </w:t>
      </w:r>
      <w:r w:rsidR="00FD48EB" w:rsidRPr="006E7C93">
        <w:rPr>
          <w:rFonts w:ascii="Bookman Old Style" w:hAnsi="Bookman Old Style" w:cs="Verdana"/>
          <w:i/>
          <w:sz w:val="22"/>
          <w:szCs w:val="22"/>
        </w:rPr>
        <w:t>struttura competente, previo accerta</w:t>
      </w:r>
      <w:r w:rsidR="00CC7AB2" w:rsidRPr="006E7C93">
        <w:rPr>
          <w:rFonts w:ascii="Bookman Old Style" w:hAnsi="Bookman Old Style" w:cs="Verdana"/>
          <w:i/>
          <w:sz w:val="22"/>
          <w:szCs w:val="22"/>
        </w:rPr>
        <w:t xml:space="preserve">mento delle specifiche attività </w:t>
      </w:r>
      <w:r w:rsidR="00FD48EB" w:rsidRPr="006E7C93">
        <w:rPr>
          <w:rFonts w:ascii="Bookman Old Style" w:hAnsi="Bookman Old Style" w:cs="Verdana"/>
          <w:i/>
          <w:sz w:val="22"/>
          <w:szCs w:val="22"/>
        </w:rPr>
        <w:t>svolte dai predetti dipendenti</w:t>
      </w:r>
      <w:r w:rsidR="00CC7AB2" w:rsidRPr="006E7C93">
        <w:rPr>
          <w:rFonts w:ascii="Bookman Old Style" w:hAnsi="Bookman Old Style" w:cs="Verdana"/>
          <w:i/>
          <w:sz w:val="22"/>
          <w:szCs w:val="22"/>
        </w:rPr>
        <w:t>”</w:t>
      </w:r>
      <w:r w:rsidR="00FD48EB" w:rsidRPr="006E7C93">
        <w:rPr>
          <w:rFonts w:ascii="Bookman Old Style" w:hAnsi="Bookman Old Style" w:cs="Verdana"/>
          <w:sz w:val="22"/>
          <w:szCs w:val="22"/>
        </w:rPr>
        <w:t xml:space="preserve">. </w:t>
      </w:r>
    </w:p>
    <w:p w14:paraId="4C300728" w14:textId="13B97A50" w:rsidR="00FD48EB" w:rsidRPr="006E7C93" w:rsidRDefault="00FD48EB" w:rsidP="00A57B5A">
      <w:pPr>
        <w:pStyle w:val="Corpotesto"/>
        <w:rPr>
          <w:rFonts w:ascii="Bookman Old Style" w:hAnsi="Bookman Old Style" w:cs="Verdana"/>
          <w:sz w:val="22"/>
          <w:szCs w:val="22"/>
        </w:rPr>
      </w:pPr>
      <w:r w:rsidRPr="006E7C93">
        <w:rPr>
          <w:rFonts w:ascii="Bookman Old Style" w:hAnsi="Bookman Old Style" w:cs="Verdana"/>
          <w:sz w:val="22"/>
          <w:szCs w:val="22"/>
        </w:rPr>
        <w:t xml:space="preserve"> </w:t>
      </w:r>
    </w:p>
    <w:p w14:paraId="698F7A5F" w14:textId="589A0121" w:rsidR="00CC7AB2" w:rsidRPr="006E7C93" w:rsidRDefault="00CC7AB2" w:rsidP="00FD48EB">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In conclusione, specialità della norma e </w:t>
      </w:r>
      <w:r w:rsidR="00196B6E">
        <w:rPr>
          <w:rFonts w:ascii="Bookman Old Style" w:hAnsi="Bookman Old Style" w:cs="Verdana"/>
          <w:sz w:val="22"/>
          <w:szCs w:val="22"/>
        </w:rPr>
        <w:t xml:space="preserve">puntuali </w:t>
      </w:r>
      <w:r w:rsidRPr="006E7C93">
        <w:rPr>
          <w:rFonts w:ascii="Bookman Old Style" w:hAnsi="Bookman Old Style" w:cs="Verdana"/>
          <w:sz w:val="22"/>
          <w:szCs w:val="22"/>
        </w:rPr>
        <w:t xml:space="preserve">limiti di spesa intrinseci al quadro normativo descritto fanno propendere </w:t>
      </w:r>
      <w:r w:rsidR="00196B6E">
        <w:rPr>
          <w:rFonts w:ascii="Bookman Old Style" w:hAnsi="Bookman Old Style" w:cs="Verdana"/>
          <w:sz w:val="22"/>
          <w:szCs w:val="22"/>
        </w:rPr>
        <w:t>questo Collegio per la tesi del</w:t>
      </w:r>
      <w:r w:rsidRPr="006E7C93">
        <w:rPr>
          <w:rFonts w:ascii="Bookman Old Style" w:hAnsi="Bookman Old Style" w:cs="Verdana"/>
          <w:sz w:val="22"/>
          <w:szCs w:val="22"/>
        </w:rPr>
        <w:t xml:space="preserve">l’esclusione del fondo </w:t>
      </w:r>
      <w:r w:rsidR="00196B6E">
        <w:rPr>
          <w:rFonts w:ascii="Bookman Old Style" w:hAnsi="Bookman Old Style" w:cs="Verdana"/>
          <w:sz w:val="22"/>
          <w:szCs w:val="22"/>
        </w:rPr>
        <w:t>del</w:t>
      </w:r>
      <w:r w:rsidRPr="006E7C93">
        <w:rPr>
          <w:rFonts w:ascii="Bookman Old Style" w:hAnsi="Bookman Old Style" w:cs="Verdana"/>
          <w:sz w:val="22"/>
          <w:szCs w:val="22"/>
        </w:rPr>
        <w:t xml:space="preserve"> comma 2 dell’art</w:t>
      </w:r>
      <w:r w:rsidR="00196B6E">
        <w:rPr>
          <w:rFonts w:ascii="Bookman Old Style" w:hAnsi="Bookman Old Style" w:cs="Verdana"/>
          <w:sz w:val="22"/>
          <w:szCs w:val="22"/>
        </w:rPr>
        <w:t>. 113 del d.lgs. n. 5</w:t>
      </w:r>
      <w:r w:rsidR="00A57B5A">
        <w:rPr>
          <w:rFonts w:ascii="Bookman Old Style" w:hAnsi="Bookman Old Style" w:cs="Verdana"/>
          <w:sz w:val="22"/>
          <w:szCs w:val="22"/>
        </w:rPr>
        <w:t>0</w:t>
      </w:r>
      <w:r w:rsidR="00196B6E">
        <w:rPr>
          <w:rFonts w:ascii="Bookman Old Style" w:hAnsi="Bookman Old Style" w:cs="Verdana"/>
          <w:sz w:val="22"/>
          <w:szCs w:val="22"/>
        </w:rPr>
        <w:t xml:space="preserve"> del 2016</w:t>
      </w:r>
      <w:r w:rsidRPr="006E7C93">
        <w:rPr>
          <w:rFonts w:ascii="Bookman Old Style" w:hAnsi="Bookman Old Style" w:cs="Verdana"/>
          <w:sz w:val="22"/>
          <w:szCs w:val="22"/>
        </w:rPr>
        <w:t xml:space="preserve"> dal computo della spesa rilevante ai fini del rispetto del tetto di spesa di cui al </w:t>
      </w:r>
      <w:r w:rsidRPr="006E7C93">
        <w:rPr>
          <w:rFonts w:ascii="Bookman Old Style" w:hAnsi="Bookman Old Style" w:cs="Verdana"/>
          <w:sz w:val="22"/>
          <w:szCs w:val="22"/>
        </w:rPr>
        <w:lastRenderedPageBreak/>
        <w:t xml:space="preserve">comma 557 dell’art. 1 della legge n. 296 del 2006. E, a fortiori, anche </w:t>
      </w:r>
      <w:r w:rsidR="00C70885" w:rsidRPr="006E7C93">
        <w:rPr>
          <w:rFonts w:ascii="Bookman Old Style" w:hAnsi="Bookman Old Style" w:cs="Verdana"/>
          <w:sz w:val="22"/>
          <w:szCs w:val="22"/>
        </w:rPr>
        <w:t>dal l</w:t>
      </w:r>
      <w:r w:rsidRPr="006E7C93">
        <w:rPr>
          <w:rFonts w:ascii="Bookman Old Style" w:hAnsi="Bookman Old Style" w:cs="Verdana"/>
          <w:sz w:val="22"/>
          <w:szCs w:val="22"/>
        </w:rPr>
        <w:t>imite disposto dall’art. 1, comma 236, della legge n. 208/2015, relativamente al fondo per il trattamento accessorio.</w:t>
      </w:r>
    </w:p>
    <w:p w14:paraId="40567D7B" w14:textId="4E1960CC" w:rsidR="00CC7AB2" w:rsidRPr="006E7C93" w:rsidRDefault="00196B6E" w:rsidP="00FD48EB">
      <w:pPr>
        <w:pStyle w:val="Corpotesto"/>
        <w:spacing w:line="480" w:lineRule="auto"/>
        <w:rPr>
          <w:rFonts w:ascii="Bookman Old Style" w:hAnsi="Bookman Old Style" w:cs="Verdana"/>
          <w:sz w:val="22"/>
          <w:szCs w:val="22"/>
        </w:rPr>
      </w:pPr>
      <w:r>
        <w:rPr>
          <w:rFonts w:ascii="Bookman Old Style" w:hAnsi="Bookman Old Style" w:cs="Verdana"/>
          <w:sz w:val="22"/>
          <w:szCs w:val="22"/>
        </w:rPr>
        <w:t>Preme in proposito evidenziare</w:t>
      </w:r>
      <w:r w:rsidR="00FA0934">
        <w:rPr>
          <w:rFonts w:ascii="Bookman Old Style" w:hAnsi="Bookman Old Style" w:cs="Verdana"/>
          <w:sz w:val="22"/>
          <w:szCs w:val="22"/>
        </w:rPr>
        <w:t>,</w:t>
      </w:r>
      <w:r>
        <w:rPr>
          <w:rFonts w:ascii="Bookman Old Style" w:hAnsi="Bookman Old Style" w:cs="Verdana"/>
          <w:sz w:val="22"/>
          <w:szCs w:val="22"/>
        </w:rPr>
        <w:t xml:space="preserve"> aggiuntivamente</w:t>
      </w:r>
      <w:r w:rsidR="00FA0934">
        <w:rPr>
          <w:rFonts w:ascii="Bookman Old Style" w:hAnsi="Bookman Old Style" w:cs="Verdana"/>
          <w:sz w:val="22"/>
          <w:szCs w:val="22"/>
        </w:rPr>
        <w:t>,</w:t>
      </w:r>
      <w:r>
        <w:rPr>
          <w:rFonts w:ascii="Bookman Old Style" w:hAnsi="Bookman Old Style" w:cs="Verdana"/>
          <w:sz w:val="22"/>
          <w:szCs w:val="22"/>
        </w:rPr>
        <w:t xml:space="preserve"> che, d</w:t>
      </w:r>
      <w:r w:rsidR="00CC7AB2" w:rsidRPr="006E7C93">
        <w:rPr>
          <w:rFonts w:ascii="Bookman Old Style" w:hAnsi="Bookman Old Style" w:cs="Verdana"/>
          <w:sz w:val="22"/>
          <w:szCs w:val="22"/>
        </w:rPr>
        <w:t xml:space="preserve">iversamente argomentando, si </w:t>
      </w:r>
      <w:r w:rsidR="00C62A76">
        <w:rPr>
          <w:rFonts w:ascii="Bookman Old Style" w:hAnsi="Bookman Old Style" w:cs="Verdana"/>
          <w:sz w:val="22"/>
          <w:szCs w:val="22"/>
        </w:rPr>
        <w:t xml:space="preserve">potrebbero </w:t>
      </w:r>
      <w:r w:rsidR="00CC7AB2" w:rsidRPr="006E7C93">
        <w:rPr>
          <w:rFonts w:ascii="Bookman Old Style" w:hAnsi="Bookman Old Style" w:cs="Verdana"/>
          <w:sz w:val="22"/>
          <w:szCs w:val="22"/>
        </w:rPr>
        <w:t>verific</w:t>
      </w:r>
      <w:r w:rsidR="00C62A76">
        <w:rPr>
          <w:rFonts w:ascii="Bookman Old Style" w:hAnsi="Bookman Old Style" w:cs="Verdana"/>
          <w:sz w:val="22"/>
          <w:szCs w:val="22"/>
        </w:rPr>
        <w:t>are</w:t>
      </w:r>
      <w:r w:rsidR="00CC7AB2" w:rsidRPr="006E7C93">
        <w:rPr>
          <w:rFonts w:ascii="Bookman Old Style" w:hAnsi="Bookman Old Style" w:cs="Verdana"/>
          <w:sz w:val="22"/>
          <w:szCs w:val="22"/>
        </w:rPr>
        <w:t xml:space="preserve"> </w:t>
      </w:r>
      <w:r>
        <w:rPr>
          <w:rFonts w:ascii="Bookman Old Style" w:hAnsi="Bookman Old Style" w:cs="Verdana"/>
          <w:sz w:val="22"/>
          <w:szCs w:val="22"/>
        </w:rPr>
        <w:t>taluni</w:t>
      </w:r>
      <w:r w:rsidR="00CC7AB2" w:rsidRPr="006E7C93">
        <w:rPr>
          <w:rFonts w:ascii="Bookman Old Style" w:hAnsi="Bookman Old Style" w:cs="Verdana"/>
          <w:sz w:val="22"/>
          <w:szCs w:val="22"/>
        </w:rPr>
        <w:t xml:space="preserve"> effetti </w:t>
      </w:r>
      <w:r w:rsidR="00C62A76">
        <w:rPr>
          <w:rFonts w:ascii="Bookman Old Style" w:hAnsi="Bookman Old Style" w:cs="Verdana"/>
          <w:sz w:val="22"/>
          <w:szCs w:val="22"/>
        </w:rPr>
        <w:t xml:space="preserve">non in linea con la finalità perseguita dalla </w:t>
      </w:r>
      <w:r>
        <w:rPr>
          <w:rFonts w:ascii="Bookman Old Style" w:hAnsi="Bookman Old Style" w:cs="Verdana"/>
          <w:sz w:val="22"/>
          <w:szCs w:val="22"/>
        </w:rPr>
        <w:t xml:space="preserve">interpretazione resa dalla </w:t>
      </w:r>
      <w:r w:rsidR="00C62A76">
        <w:rPr>
          <w:rFonts w:ascii="Bookman Old Style" w:hAnsi="Bookman Old Style" w:cs="Verdana"/>
          <w:sz w:val="22"/>
          <w:szCs w:val="22"/>
        </w:rPr>
        <w:t xml:space="preserve">Sezione </w:t>
      </w:r>
      <w:r w:rsidR="00666478">
        <w:rPr>
          <w:rFonts w:ascii="Bookman Old Style" w:hAnsi="Bookman Old Style" w:cs="Verdana"/>
          <w:sz w:val="22"/>
          <w:szCs w:val="22"/>
        </w:rPr>
        <w:t xml:space="preserve">delle </w:t>
      </w:r>
      <w:r w:rsidR="00C62A76">
        <w:rPr>
          <w:rFonts w:ascii="Bookman Old Style" w:hAnsi="Bookman Old Style" w:cs="Verdana"/>
          <w:sz w:val="22"/>
          <w:szCs w:val="22"/>
        </w:rPr>
        <w:t>Autonomie.</w:t>
      </w:r>
    </w:p>
    <w:p w14:paraId="5118B1E6" w14:textId="6F02C7A0" w:rsidR="0034580D" w:rsidRPr="006E7C93" w:rsidRDefault="00CC7AB2" w:rsidP="00733EB1">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Gli incentivi alla progettazione, </w:t>
      </w:r>
      <w:r w:rsidR="00A83577">
        <w:rPr>
          <w:rFonts w:ascii="Bookman Old Style" w:hAnsi="Bookman Old Style" w:cs="Verdana"/>
          <w:sz w:val="22"/>
          <w:szCs w:val="22"/>
        </w:rPr>
        <w:t>in vero</w:t>
      </w:r>
      <w:r w:rsidRPr="006E7C93">
        <w:rPr>
          <w:rFonts w:ascii="Bookman Old Style" w:hAnsi="Bookman Old Style" w:cs="Verdana"/>
          <w:sz w:val="22"/>
          <w:szCs w:val="22"/>
        </w:rPr>
        <w:t>, negli esercizi 2011/2013 non erano ricompresi nella base di calcolo per il tetto di spesa di cui al comma</w:t>
      </w:r>
      <w:r w:rsidR="0034580D" w:rsidRPr="006E7C93">
        <w:rPr>
          <w:rFonts w:ascii="Bookman Old Style" w:hAnsi="Bookman Old Style" w:cs="Verdana"/>
          <w:sz w:val="22"/>
          <w:szCs w:val="22"/>
        </w:rPr>
        <w:t xml:space="preserve"> </w:t>
      </w:r>
      <w:r w:rsidRPr="006E7C93">
        <w:rPr>
          <w:rFonts w:ascii="Bookman Old Style" w:hAnsi="Bookman Old Style" w:cs="Verdana"/>
          <w:sz w:val="22"/>
          <w:szCs w:val="22"/>
        </w:rPr>
        <w:t>557 cit</w:t>
      </w:r>
      <w:r w:rsidR="00E86CA5">
        <w:rPr>
          <w:rFonts w:ascii="Bookman Old Style" w:hAnsi="Bookman Old Style" w:cs="Verdana"/>
          <w:sz w:val="22"/>
          <w:szCs w:val="22"/>
        </w:rPr>
        <w:t>ato.</w:t>
      </w:r>
      <w:r w:rsidRPr="006E7C93">
        <w:rPr>
          <w:rFonts w:ascii="Bookman Old Style" w:hAnsi="Bookman Old Style" w:cs="Verdana"/>
          <w:sz w:val="22"/>
          <w:szCs w:val="22"/>
        </w:rPr>
        <w:t xml:space="preserve"> </w:t>
      </w:r>
    </w:p>
    <w:p w14:paraId="3B6D92B5" w14:textId="77777777" w:rsidR="00CC7AB2" w:rsidRPr="006E7C93" w:rsidRDefault="00CC7AB2" w:rsidP="00202628">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Così come non erano ricompresi </w:t>
      </w:r>
      <w:r w:rsidR="00202628" w:rsidRPr="006E7C93">
        <w:rPr>
          <w:rFonts w:ascii="Bookman Old Style" w:hAnsi="Bookman Old Style" w:cs="Verdana"/>
          <w:sz w:val="22"/>
          <w:szCs w:val="22"/>
        </w:rPr>
        <w:t>nella base di calcolo del limite del 2015</w:t>
      </w:r>
      <w:r w:rsidRPr="006E7C93">
        <w:rPr>
          <w:rFonts w:ascii="Bookman Old Style" w:hAnsi="Bookman Old Style" w:cs="Verdana"/>
          <w:sz w:val="22"/>
          <w:szCs w:val="22"/>
        </w:rPr>
        <w:t xml:space="preserve"> riferito alle risorse per il trattamento accessorio.</w:t>
      </w:r>
    </w:p>
    <w:p w14:paraId="75A1EE89" w14:textId="70C88F32" w:rsidR="00245113" w:rsidRPr="006E7C93" w:rsidRDefault="00CC7AB2" w:rsidP="00202628">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Includere oggi gli incentivi </w:t>
      </w:r>
      <w:r w:rsidR="00245113" w:rsidRPr="006E7C93">
        <w:rPr>
          <w:rFonts w:ascii="Bookman Old Style" w:hAnsi="Bookman Old Style" w:cs="Verdana"/>
          <w:sz w:val="22"/>
          <w:szCs w:val="22"/>
        </w:rPr>
        <w:t xml:space="preserve">tecnici nella base di calcolo della spesa rilevante ai fini del </w:t>
      </w:r>
      <w:r w:rsidR="00C62A76">
        <w:rPr>
          <w:rFonts w:ascii="Bookman Old Style" w:hAnsi="Bookman Old Style" w:cs="Verdana"/>
          <w:sz w:val="22"/>
          <w:szCs w:val="22"/>
        </w:rPr>
        <w:t>computo della spesa complessiva</w:t>
      </w:r>
      <w:r w:rsidR="00245113" w:rsidRPr="006E7C93">
        <w:rPr>
          <w:rFonts w:ascii="Bookman Old Style" w:hAnsi="Bookman Old Style" w:cs="Verdana"/>
          <w:sz w:val="22"/>
          <w:szCs w:val="22"/>
        </w:rPr>
        <w:t xml:space="preserve"> vorrebbe dire superare, con assoluta certezza, il tetto di spesa di cui al comma 557 cit</w:t>
      </w:r>
      <w:r w:rsidR="00E86CA5">
        <w:rPr>
          <w:rFonts w:ascii="Bookman Old Style" w:hAnsi="Bookman Old Style" w:cs="Verdana"/>
          <w:sz w:val="22"/>
          <w:szCs w:val="22"/>
        </w:rPr>
        <w:t>ato</w:t>
      </w:r>
      <w:r w:rsidR="00B10BBC" w:rsidRPr="006E7C93">
        <w:rPr>
          <w:rFonts w:ascii="Bookman Old Style" w:hAnsi="Bookman Old Style" w:cs="Verdana"/>
          <w:sz w:val="22"/>
          <w:szCs w:val="22"/>
        </w:rPr>
        <w:t>, s</w:t>
      </w:r>
      <w:r w:rsidR="001170A6">
        <w:rPr>
          <w:rFonts w:ascii="Bookman Old Style" w:hAnsi="Bookman Old Style" w:cs="Verdana"/>
          <w:sz w:val="22"/>
          <w:szCs w:val="22"/>
        </w:rPr>
        <w:t>enza che l’e</w:t>
      </w:r>
      <w:r w:rsidR="00245113" w:rsidRPr="006E7C93">
        <w:rPr>
          <w:rFonts w:ascii="Bookman Old Style" w:hAnsi="Bookman Old Style" w:cs="Verdana"/>
          <w:sz w:val="22"/>
          <w:szCs w:val="22"/>
        </w:rPr>
        <w:t>nte abbia la possibilità di ridurre altre voci, in considerazione della rigidità della spesa di personale stretta, nell’ultimo decennio, tra numerosi vincoli.</w:t>
      </w:r>
    </w:p>
    <w:p w14:paraId="6048F43B" w14:textId="7F1700D7" w:rsidR="00245113" w:rsidRPr="006E7C93" w:rsidRDefault="00245113" w:rsidP="00202628">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Allo stesso modo, </w:t>
      </w:r>
      <w:r w:rsidR="00C62A76">
        <w:rPr>
          <w:rFonts w:ascii="Bookman Old Style" w:hAnsi="Bookman Old Style" w:cs="Verdana"/>
          <w:sz w:val="22"/>
          <w:szCs w:val="22"/>
        </w:rPr>
        <w:t>qualora</w:t>
      </w:r>
      <w:r w:rsidRPr="006E7C93">
        <w:rPr>
          <w:rFonts w:ascii="Bookman Old Style" w:hAnsi="Bookman Old Style" w:cs="Verdana"/>
          <w:sz w:val="22"/>
          <w:szCs w:val="22"/>
        </w:rPr>
        <w:t xml:space="preserve"> tali incentivi rileva</w:t>
      </w:r>
      <w:r w:rsidR="006A45D0">
        <w:rPr>
          <w:rFonts w:ascii="Bookman Old Style" w:hAnsi="Bookman Old Style" w:cs="Verdana"/>
          <w:sz w:val="22"/>
          <w:szCs w:val="22"/>
        </w:rPr>
        <w:t xml:space="preserve">ssero </w:t>
      </w:r>
      <w:r w:rsidRPr="006E7C93">
        <w:rPr>
          <w:rFonts w:ascii="Bookman Old Style" w:hAnsi="Bookman Old Style" w:cs="Verdana"/>
          <w:sz w:val="22"/>
          <w:szCs w:val="22"/>
        </w:rPr>
        <w:t>ai fini del tetto di spesa per il trattamento accessorio, si verificherebbe l’impossibilità di erogare gli stessi se non a scapito del trattamento accessorio di altri dipendenti</w:t>
      </w:r>
      <w:r w:rsidR="00C62A76">
        <w:rPr>
          <w:rFonts w:ascii="Bookman Old Style" w:hAnsi="Bookman Old Style" w:cs="Verdana"/>
          <w:sz w:val="22"/>
          <w:szCs w:val="22"/>
        </w:rPr>
        <w:t>, mediante riduzione di altre risorse</w:t>
      </w:r>
      <w:r w:rsidRPr="006E7C93">
        <w:rPr>
          <w:rFonts w:ascii="Bookman Old Style" w:hAnsi="Bookman Old Style" w:cs="Verdana"/>
          <w:sz w:val="22"/>
          <w:szCs w:val="22"/>
        </w:rPr>
        <w:t>, al fine di compensare l’ero</w:t>
      </w:r>
      <w:r w:rsidR="006A45D0">
        <w:rPr>
          <w:rFonts w:ascii="Bookman Old Style" w:hAnsi="Bookman Old Style" w:cs="Verdana"/>
          <w:sz w:val="22"/>
          <w:szCs w:val="22"/>
        </w:rPr>
        <w:t>gazione degli incentivi tecnici in discorso.</w:t>
      </w:r>
    </w:p>
    <w:p w14:paraId="69CE5C04" w14:textId="33D8D30F" w:rsidR="00504817" w:rsidRPr="006E7C93" w:rsidRDefault="00504817" w:rsidP="00202628">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Con riferimento, inoltre, al limite di spesa di cui al comma 557, un’interpretazione “restrittiva” determinerebbe la violazione </w:t>
      </w:r>
      <w:r w:rsidR="006A45D0">
        <w:rPr>
          <w:rFonts w:ascii="Bookman Old Style" w:hAnsi="Bookman Old Style" w:cs="Verdana"/>
          <w:sz w:val="22"/>
          <w:szCs w:val="22"/>
        </w:rPr>
        <w:t xml:space="preserve">del </w:t>
      </w:r>
      <w:r w:rsidRPr="006E7C93">
        <w:rPr>
          <w:rFonts w:ascii="Bookman Old Style" w:hAnsi="Bookman Old Style" w:cs="Verdana"/>
          <w:sz w:val="22"/>
          <w:szCs w:val="22"/>
        </w:rPr>
        <w:t>principio</w:t>
      </w:r>
      <w:r w:rsidR="006A45D0">
        <w:rPr>
          <w:rFonts w:ascii="Bookman Old Style" w:hAnsi="Bookman Old Style" w:cs="Verdana"/>
          <w:sz w:val="22"/>
          <w:szCs w:val="22"/>
        </w:rPr>
        <w:t>,</w:t>
      </w:r>
      <w:r w:rsidRPr="006E7C93">
        <w:rPr>
          <w:rFonts w:ascii="Bookman Old Style" w:hAnsi="Bookman Old Style" w:cs="Verdana"/>
          <w:sz w:val="22"/>
          <w:szCs w:val="22"/>
        </w:rPr>
        <w:t xml:space="preserve"> affermato dalla giurisprudenza contab</w:t>
      </w:r>
      <w:r w:rsidR="006A45D0">
        <w:rPr>
          <w:rFonts w:ascii="Bookman Old Style" w:hAnsi="Bookman Old Style" w:cs="Verdana"/>
          <w:sz w:val="22"/>
          <w:szCs w:val="22"/>
        </w:rPr>
        <w:t xml:space="preserve">ile, </w:t>
      </w:r>
      <w:r w:rsidRPr="006E7C93">
        <w:rPr>
          <w:rFonts w:ascii="Bookman Old Style" w:hAnsi="Bookman Old Style" w:cs="Verdana"/>
          <w:sz w:val="22"/>
          <w:szCs w:val="22"/>
        </w:rPr>
        <w:t xml:space="preserve">di omogeneità tra i dati (e i tetti di spesa) oggetto di comparazione. Non sarebbe logico, né legittimo, contrapporre due limiti di spesa il cui ammontare </w:t>
      </w:r>
      <w:r w:rsidR="006A45D0">
        <w:rPr>
          <w:rFonts w:ascii="Bookman Old Style" w:hAnsi="Bookman Old Style" w:cs="Verdana"/>
          <w:sz w:val="22"/>
          <w:szCs w:val="22"/>
        </w:rPr>
        <w:t>sia</w:t>
      </w:r>
      <w:r w:rsidRPr="006E7C93">
        <w:rPr>
          <w:rFonts w:ascii="Bookman Old Style" w:hAnsi="Bookman Old Style" w:cs="Verdana"/>
          <w:sz w:val="22"/>
          <w:szCs w:val="22"/>
        </w:rPr>
        <w:t xml:space="preserve"> composto da voci differenti.</w:t>
      </w:r>
    </w:p>
    <w:p w14:paraId="2CACE477" w14:textId="0E1BEF9F" w:rsidR="00504817" w:rsidRPr="006E7C93" w:rsidRDefault="00504817" w:rsidP="00202628">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lastRenderedPageBreak/>
        <w:t>Se si ritenesse di adottare tale principio, legittimo e coerente con il sistema dei tetti di spesa, si potrebbero</w:t>
      </w:r>
      <w:r w:rsidR="006A45D0">
        <w:rPr>
          <w:rFonts w:ascii="Bookman Old Style" w:hAnsi="Bookman Old Style" w:cs="Verdana"/>
          <w:sz w:val="22"/>
          <w:szCs w:val="22"/>
        </w:rPr>
        <w:t xml:space="preserve">, tuttavia, </w:t>
      </w:r>
      <w:r w:rsidRPr="006E7C93">
        <w:rPr>
          <w:rFonts w:ascii="Bookman Old Style" w:hAnsi="Bookman Old Style" w:cs="Verdana"/>
          <w:sz w:val="22"/>
          <w:szCs w:val="22"/>
        </w:rPr>
        <w:t xml:space="preserve">verificare </w:t>
      </w:r>
      <w:r w:rsidR="006A45D0">
        <w:rPr>
          <w:rFonts w:ascii="Bookman Old Style" w:hAnsi="Bookman Old Style" w:cs="Verdana"/>
          <w:sz w:val="22"/>
          <w:szCs w:val="22"/>
        </w:rPr>
        <w:t>conseguenze</w:t>
      </w:r>
      <w:r w:rsidRPr="006E7C93">
        <w:rPr>
          <w:rFonts w:ascii="Bookman Old Style" w:hAnsi="Bookman Old Style" w:cs="Verdana"/>
          <w:sz w:val="22"/>
          <w:szCs w:val="22"/>
        </w:rPr>
        <w:t xml:space="preserve"> </w:t>
      </w:r>
      <w:r w:rsidR="00FD2AC1">
        <w:rPr>
          <w:rFonts w:ascii="Bookman Old Style" w:hAnsi="Bookman Old Style" w:cs="Verdana"/>
          <w:sz w:val="22"/>
          <w:szCs w:val="22"/>
        </w:rPr>
        <w:t xml:space="preserve">non coerenti con </w:t>
      </w:r>
      <w:r w:rsidR="006A45D0">
        <w:rPr>
          <w:rFonts w:ascii="Bookman Old Style" w:hAnsi="Bookman Old Style" w:cs="Verdana"/>
          <w:sz w:val="22"/>
          <w:szCs w:val="22"/>
        </w:rPr>
        <w:t>le esigenze di</w:t>
      </w:r>
      <w:r w:rsidR="00FD2AC1">
        <w:rPr>
          <w:rFonts w:ascii="Bookman Old Style" w:hAnsi="Bookman Old Style" w:cs="Verdana"/>
          <w:sz w:val="22"/>
          <w:szCs w:val="22"/>
        </w:rPr>
        <w:t xml:space="preserve"> contenimento della spesa di personale,</w:t>
      </w:r>
      <w:r w:rsidRPr="006E7C93">
        <w:rPr>
          <w:rFonts w:ascii="Bookman Old Style" w:hAnsi="Bookman Old Style" w:cs="Verdana"/>
          <w:sz w:val="22"/>
          <w:szCs w:val="22"/>
        </w:rPr>
        <w:t xml:space="preserve"> con possibili</w:t>
      </w:r>
      <w:r w:rsidR="006A45D0">
        <w:rPr>
          <w:rFonts w:ascii="Bookman Old Style" w:hAnsi="Bookman Old Style" w:cs="Verdana"/>
          <w:sz w:val="22"/>
          <w:szCs w:val="22"/>
        </w:rPr>
        <w:t xml:space="preserve"> effetti espansivi della stessa, oltre che un fen</w:t>
      </w:r>
      <w:r w:rsidRPr="006E7C93">
        <w:rPr>
          <w:rFonts w:ascii="Bookman Old Style" w:hAnsi="Bookman Old Style" w:cs="Verdana"/>
          <w:sz w:val="22"/>
          <w:szCs w:val="22"/>
        </w:rPr>
        <w:t xml:space="preserve">omeno di casualità che potrebbe </w:t>
      </w:r>
      <w:r w:rsidR="006A45D0">
        <w:rPr>
          <w:rFonts w:ascii="Bookman Old Style" w:hAnsi="Bookman Old Style" w:cs="Verdana"/>
          <w:sz w:val="22"/>
          <w:szCs w:val="22"/>
        </w:rPr>
        <w:t>condurre</w:t>
      </w:r>
      <w:r w:rsidRPr="006E7C93">
        <w:rPr>
          <w:rFonts w:ascii="Bookman Old Style" w:hAnsi="Bookman Old Style" w:cs="Verdana"/>
          <w:sz w:val="22"/>
          <w:szCs w:val="22"/>
        </w:rPr>
        <w:t xml:space="preserve"> alcuni </w:t>
      </w:r>
      <w:r w:rsidR="00A57B5A">
        <w:rPr>
          <w:rFonts w:ascii="Bookman Old Style" w:hAnsi="Bookman Old Style" w:cs="Verdana"/>
          <w:sz w:val="22"/>
          <w:szCs w:val="22"/>
        </w:rPr>
        <w:t>e</w:t>
      </w:r>
      <w:r w:rsidRPr="006E7C93">
        <w:rPr>
          <w:rFonts w:ascii="Bookman Old Style" w:hAnsi="Bookman Old Style" w:cs="Verdana"/>
          <w:sz w:val="22"/>
          <w:szCs w:val="22"/>
        </w:rPr>
        <w:t>nti a realizzare una spesa rilevante, ed altri a non poter erogare alcunché.</w:t>
      </w:r>
    </w:p>
    <w:p w14:paraId="7FC568FE" w14:textId="4234FCBD" w:rsidR="00396CDF" w:rsidRPr="006E7C93" w:rsidRDefault="00504817" w:rsidP="00202628">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Per rendere omogeneo il dato </w:t>
      </w:r>
      <w:r w:rsidR="00FD2AC1">
        <w:rPr>
          <w:rFonts w:ascii="Bookman Old Style" w:hAnsi="Bookman Old Style" w:cs="Verdana"/>
          <w:sz w:val="22"/>
          <w:szCs w:val="22"/>
        </w:rPr>
        <w:t xml:space="preserve">si potrebbero osservare due vie: ciascun </w:t>
      </w:r>
      <w:r w:rsidR="001170A6">
        <w:rPr>
          <w:rFonts w:ascii="Bookman Old Style" w:hAnsi="Bookman Old Style" w:cs="Verdana"/>
          <w:sz w:val="22"/>
          <w:szCs w:val="22"/>
        </w:rPr>
        <w:t>e</w:t>
      </w:r>
      <w:r w:rsidR="00FD2AC1">
        <w:rPr>
          <w:rFonts w:ascii="Bookman Old Style" w:hAnsi="Bookman Old Style" w:cs="Verdana"/>
          <w:sz w:val="22"/>
          <w:szCs w:val="22"/>
        </w:rPr>
        <w:t xml:space="preserve">nte </w:t>
      </w:r>
      <w:r w:rsidR="00A06B3B">
        <w:rPr>
          <w:rFonts w:ascii="Bookman Old Style" w:hAnsi="Bookman Old Style" w:cs="Verdana"/>
          <w:sz w:val="22"/>
          <w:szCs w:val="22"/>
        </w:rPr>
        <w:t xml:space="preserve">dovrebbe </w:t>
      </w:r>
      <w:r w:rsidR="00FD2AC1">
        <w:rPr>
          <w:rFonts w:ascii="Bookman Old Style" w:hAnsi="Bookman Old Style" w:cs="Verdana"/>
          <w:sz w:val="22"/>
          <w:szCs w:val="22"/>
        </w:rPr>
        <w:t>ricomprende</w:t>
      </w:r>
      <w:r w:rsidR="00A06B3B">
        <w:rPr>
          <w:rFonts w:ascii="Bookman Old Style" w:hAnsi="Bookman Old Style" w:cs="Verdana"/>
          <w:sz w:val="22"/>
          <w:szCs w:val="22"/>
        </w:rPr>
        <w:t>re</w:t>
      </w:r>
      <w:r w:rsidRPr="006E7C93">
        <w:rPr>
          <w:rFonts w:ascii="Bookman Old Style" w:hAnsi="Bookman Old Style" w:cs="Verdana"/>
          <w:sz w:val="22"/>
          <w:szCs w:val="22"/>
        </w:rPr>
        <w:t xml:space="preserve"> nel tetto di spesa tutti gli incentivi alla progettazione erogati nel triennio 2011/2013 (e nel corso del 2015 relativamente al limite per il fo</w:t>
      </w:r>
      <w:r w:rsidR="00396CDF" w:rsidRPr="006E7C93">
        <w:rPr>
          <w:rFonts w:ascii="Bookman Old Style" w:hAnsi="Bookman Old Style" w:cs="Verdana"/>
          <w:sz w:val="22"/>
          <w:szCs w:val="22"/>
        </w:rPr>
        <w:t xml:space="preserve">ndo del trattamento accessorio). Ma tale interpretazione sarebbe </w:t>
      </w:r>
      <w:r w:rsidR="00396CDF" w:rsidRPr="006E7C93">
        <w:rPr>
          <w:rFonts w:ascii="Bookman Old Style" w:hAnsi="Bookman Old Style" w:cs="Verdana"/>
          <w:i/>
          <w:sz w:val="22"/>
          <w:szCs w:val="22"/>
        </w:rPr>
        <w:t>ultra legem</w:t>
      </w:r>
      <w:r w:rsidR="00396CDF" w:rsidRPr="006E7C93">
        <w:rPr>
          <w:rFonts w:ascii="Bookman Old Style" w:hAnsi="Bookman Old Style" w:cs="Verdana"/>
          <w:sz w:val="22"/>
          <w:szCs w:val="22"/>
        </w:rPr>
        <w:t xml:space="preserve"> in quanto, con </w:t>
      </w:r>
      <w:r w:rsidR="00A06B3B">
        <w:rPr>
          <w:rFonts w:ascii="Bookman Old Style" w:hAnsi="Bookman Old Style" w:cs="Verdana"/>
          <w:sz w:val="22"/>
          <w:szCs w:val="22"/>
        </w:rPr>
        <w:t>espressa</w:t>
      </w:r>
      <w:r w:rsidR="00396CDF" w:rsidRPr="006E7C93">
        <w:rPr>
          <w:rFonts w:ascii="Bookman Old Style" w:hAnsi="Bookman Old Style" w:cs="Verdana"/>
          <w:sz w:val="22"/>
          <w:szCs w:val="22"/>
        </w:rPr>
        <w:t xml:space="preserve"> volontà legislativa, il nuovo codice dei contratti ha escluso dal fondo di cui al comma 2 dell’art. 113 gli incentivi alla progettazione. </w:t>
      </w:r>
      <w:r w:rsidRPr="006E7C93">
        <w:rPr>
          <w:rFonts w:ascii="Bookman Old Style" w:hAnsi="Bookman Old Style" w:cs="Verdana"/>
          <w:sz w:val="22"/>
          <w:szCs w:val="22"/>
        </w:rPr>
        <w:t xml:space="preserve"> </w:t>
      </w:r>
    </w:p>
    <w:p w14:paraId="5359C837" w14:textId="36A1BB45" w:rsidR="00396CDF" w:rsidRPr="006E7C93" w:rsidRDefault="00A06B3B" w:rsidP="00202628">
      <w:pPr>
        <w:pStyle w:val="Corpotesto"/>
        <w:spacing w:line="480" w:lineRule="auto"/>
        <w:rPr>
          <w:rFonts w:ascii="Bookman Old Style" w:hAnsi="Bookman Old Style" w:cs="Verdana"/>
          <w:sz w:val="22"/>
          <w:szCs w:val="22"/>
        </w:rPr>
      </w:pPr>
      <w:r>
        <w:rPr>
          <w:rFonts w:ascii="Bookman Old Style" w:hAnsi="Bookman Old Style" w:cs="Verdana"/>
          <w:sz w:val="22"/>
          <w:szCs w:val="22"/>
        </w:rPr>
        <w:t>In alternativa</w:t>
      </w:r>
      <w:r w:rsidR="00FD2AC1">
        <w:rPr>
          <w:rFonts w:ascii="Bookman Old Style" w:hAnsi="Bookman Old Style" w:cs="Verdana"/>
          <w:sz w:val="22"/>
          <w:szCs w:val="22"/>
        </w:rPr>
        <w:t>,</w:t>
      </w:r>
      <w:r w:rsidR="001170A6">
        <w:rPr>
          <w:rFonts w:ascii="Bookman Old Style" w:hAnsi="Bookman Old Style" w:cs="Verdana"/>
          <w:sz w:val="22"/>
          <w:szCs w:val="22"/>
        </w:rPr>
        <w:t xml:space="preserve"> ciascun e</w:t>
      </w:r>
      <w:r w:rsidR="00396CDF" w:rsidRPr="006E7C93">
        <w:rPr>
          <w:rFonts w:ascii="Bookman Old Style" w:hAnsi="Bookman Old Style" w:cs="Verdana"/>
          <w:sz w:val="22"/>
          <w:szCs w:val="22"/>
        </w:rPr>
        <w:t>nte dovrebbe individuare quelle voci di spesa riferite ad incentivi che s</w:t>
      </w:r>
      <w:r>
        <w:rPr>
          <w:rFonts w:ascii="Bookman Old Style" w:hAnsi="Bookman Old Style" w:cs="Verdana"/>
          <w:sz w:val="22"/>
          <w:szCs w:val="22"/>
        </w:rPr>
        <w:t>ia</w:t>
      </w:r>
      <w:r w:rsidR="00396CDF" w:rsidRPr="006E7C93">
        <w:rPr>
          <w:rFonts w:ascii="Bookman Old Style" w:hAnsi="Bookman Old Style" w:cs="Verdana"/>
          <w:sz w:val="22"/>
          <w:szCs w:val="22"/>
        </w:rPr>
        <w:t xml:space="preserve">no previsti espressamente in entrambi i testi normativi (vecchio e nuovo codice dei contratti) o </w:t>
      </w:r>
      <w:r>
        <w:rPr>
          <w:rFonts w:ascii="Bookman Old Style" w:hAnsi="Bookman Old Style" w:cs="Verdana"/>
          <w:sz w:val="22"/>
          <w:szCs w:val="22"/>
        </w:rPr>
        <w:t xml:space="preserve">che siano </w:t>
      </w:r>
      <w:r w:rsidR="00396CDF" w:rsidRPr="006E7C93">
        <w:rPr>
          <w:rFonts w:ascii="Bookman Old Style" w:hAnsi="Bookman Old Style" w:cs="Verdana"/>
          <w:sz w:val="22"/>
          <w:szCs w:val="22"/>
        </w:rPr>
        <w:t xml:space="preserve">riconosciuti dalla giurisprudenza contabile. </w:t>
      </w:r>
      <w:r>
        <w:rPr>
          <w:rFonts w:ascii="Bookman Old Style" w:hAnsi="Bookman Old Style" w:cs="Verdana"/>
          <w:sz w:val="22"/>
          <w:szCs w:val="22"/>
        </w:rPr>
        <w:t>Ma tale o</w:t>
      </w:r>
      <w:r w:rsidR="00396CDF" w:rsidRPr="006E7C93">
        <w:rPr>
          <w:rFonts w:ascii="Bookman Old Style" w:hAnsi="Bookman Old Style" w:cs="Verdana"/>
          <w:sz w:val="22"/>
          <w:szCs w:val="22"/>
        </w:rPr>
        <w:t xml:space="preserve">perazione </w:t>
      </w:r>
      <w:r>
        <w:rPr>
          <w:rFonts w:ascii="Bookman Old Style" w:hAnsi="Bookman Old Style" w:cs="Verdana"/>
          <w:sz w:val="22"/>
          <w:szCs w:val="22"/>
        </w:rPr>
        <w:t xml:space="preserve">risulta </w:t>
      </w:r>
      <w:r w:rsidR="00396CDF" w:rsidRPr="006E7C93">
        <w:rPr>
          <w:rFonts w:ascii="Bookman Old Style" w:hAnsi="Bookman Old Style" w:cs="Verdana"/>
          <w:sz w:val="22"/>
          <w:szCs w:val="22"/>
        </w:rPr>
        <w:t xml:space="preserve">priva di criteri univoci e </w:t>
      </w:r>
      <w:r>
        <w:rPr>
          <w:rFonts w:ascii="Bookman Old Style" w:hAnsi="Bookman Old Style" w:cs="Verdana"/>
          <w:sz w:val="22"/>
          <w:szCs w:val="22"/>
        </w:rPr>
        <w:t>sarebbe rimessa</w:t>
      </w:r>
      <w:r w:rsidR="00396CDF" w:rsidRPr="006E7C93">
        <w:rPr>
          <w:rFonts w:ascii="Bookman Old Style" w:hAnsi="Bookman Old Style" w:cs="Verdana"/>
          <w:sz w:val="22"/>
          <w:szCs w:val="22"/>
        </w:rPr>
        <w:t xml:space="preserve"> </w:t>
      </w:r>
      <w:r w:rsidR="001170A6">
        <w:rPr>
          <w:rFonts w:ascii="Bookman Old Style" w:hAnsi="Bookman Old Style" w:cs="Verdana"/>
          <w:sz w:val="22"/>
          <w:szCs w:val="22"/>
        </w:rPr>
        <w:t>alla libera disponibilità dell’e</w:t>
      </w:r>
      <w:r w:rsidR="00396CDF" w:rsidRPr="006E7C93">
        <w:rPr>
          <w:rFonts w:ascii="Bookman Old Style" w:hAnsi="Bookman Old Style" w:cs="Verdana"/>
          <w:sz w:val="22"/>
          <w:szCs w:val="22"/>
        </w:rPr>
        <w:t>nte.</w:t>
      </w:r>
    </w:p>
    <w:p w14:paraId="3662CE35" w14:textId="65059D4A" w:rsidR="00396CDF" w:rsidRPr="006E7C93" w:rsidRDefault="00A06B3B" w:rsidP="00202628">
      <w:pPr>
        <w:pStyle w:val="Corpotesto"/>
        <w:spacing w:line="480" w:lineRule="auto"/>
        <w:rPr>
          <w:rFonts w:ascii="Bookman Old Style" w:hAnsi="Bookman Old Style" w:cs="Verdana"/>
          <w:sz w:val="22"/>
          <w:szCs w:val="22"/>
        </w:rPr>
      </w:pPr>
      <w:r>
        <w:rPr>
          <w:rFonts w:ascii="Bookman Old Style" w:hAnsi="Bookman Old Style" w:cs="Verdana"/>
          <w:sz w:val="22"/>
          <w:szCs w:val="22"/>
        </w:rPr>
        <w:t>Senza contare che</w:t>
      </w:r>
      <w:r w:rsidR="00396CDF" w:rsidRPr="006E7C93">
        <w:rPr>
          <w:rFonts w:ascii="Bookman Old Style" w:hAnsi="Bookman Old Style" w:cs="Verdana"/>
          <w:sz w:val="22"/>
          <w:szCs w:val="22"/>
        </w:rPr>
        <w:t>, nel passato</w:t>
      </w:r>
      <w:r>
        <w:rPr>
          <w:rFonts w:ascii="Bookman Old Style" w:hAnsi="Bookman Old Style" w:cs="Verdana"/>
          <w:sz w:val="22"/>
          <w:szCs w:val="22"/>
        </w:rPr>
        <w:t>,</w:t>
      </w:r>
      <w:r w:rsidR="00396CDF" w:rsidRPr="006E7C93">
        <w:rPr>
          <w:rFonts w:ascii="Bookman Old Style" w:hAnsi="Bookman Old Style" w:cs="Verdana"/>
          <w:sz w:val="22"/>
          <w:szCs w:val="22"/>
        </w:rPr>
        <w:t xml:space="preserve"> tali incentivi erano previsti solo per i contr</w:t>
      </w:r>
      <w:r>
        <w:rPr>
          <w:rFonts w:ascii="Bookman Old Style" w:hAnsi="Bookman Old Style" w:cs="Verdana"/>
          <w:sz w:val="22"/>
          <w:szCs w:val="22"/>
        </w:rPr>
        <w:t xml:space="preserve">atti riferiti a lavori pubblici, laddove il </w:t>
      </w:r>
      <w:r w:rsidR="00396CDF" w:rsidRPr="006E7C93">
        <w:rPr>
          <w:rFonts w:ascii="Bookman Old Style" w:hAnsi="Bookman Old Style" w:cs="Verdana"/>
          <w:sz w:val="22"/>
          <w:szCs w:val="22"/>
        </w:rPr>
        <w:t>nuovo testo riferisce gli incentivi anche a forniture e servizi</w:t>
      </w:r>
      <w:r w:rsidR="006E7876" w:rsidRPr="006E7C93">
        <w:rPr>
          <w:rFonts w:ascii="Bookman Old Style" w:hAnsi="Bookman Old Style" w:cs="Verdana"/>
          <w:sz w:val="22"/>
          <w:szCs w:val="22"/>
        </w:rPr>
        <w:t>,</w:t>
      </w:r>
      <w:r w:rsidR="00396CDF" w:rsidRPr="006E7C93">
        <w:rPr>
          <w:rFonts w:ascii="Bookman Old Style" w:hAnsi="Bookman Old Style" w:cs="Verdana"/>
          <w:sz w:val="22"/>
          <w:szCs w:val="22"/>
        </w:rPr>
        <w:t xml:space="preserve"> </w:t>
      </w:r>
      <w:r w:rsidR="006E7876" w:rsidRPr="006E7C93">
        <w:rPr>
          <w:rFonts w:ascii="Bookman Old Style" w:hAnsi="Bookman Old Style" w:cs="Verdana"/>
          <w:sz w:val="22"/>
          <w:szCs w:val="22"/>
        </w:rPr>
        <w:t>a</w:t>
      </w:r>
      <w:r w:rsidR="00396CDF" w:rsidRPr="006E7C93">
        <w:rPr>
          <w:rFonts w:ascii="Bookman Old Style" w:hAnsi="Bookman Old Style" w:cs="Verdana"/>
          <w:sz w:val="22"/>
          <w:szCs w:val="22"/>
        </w:rPr>
        <w:t xml:space="preserve">umentando il fattore di difficoltà e </w:t>
      </w:r>
      <w:r>
        <w:rPr>
          <w:rFonts w:ascii="Bookman Old Style" w:hAnsi="Bookman Old Style" w:cs="Verdana"/>
          <w:sz w:val="22"/>
          <w:szCs w:val="22"/>
        </w:rPr>
        <w:t xml:space="preserve">le iniquità </w:t>
      </w:r>
      <w:r w:rsidR="00396CDF" w:rsidRPr="006E7C93">
        <w:rPr>
          <w:rFonts w:ascii="Bookman Old Style" w:hAnsi="Bookman Old Style" w:cs="Verdana"/>
          <w:sz w:val="22"/>
          <w:szCs w:val="22"/>
        </w:rPr>
        <w:t>che ne potrebbe</w:t>
      </w:r>
      <w:r>
        <w:rPr>
          <w:rFonts w:ascii="Bookman Old Style" w:hAnsi="Bookman Old Style" w:cs="Verdana"/>
          <w:sz w:val="22"/>
          <w:szCs w:val="22"/>
        </w:rPr>
        <w:t>ro</w:t>
      </w:r>
      <w:r w:rsidR="00396CDF" w:rsidRPr="006E7C93">
        <w:rPr>
          <w:rFonts w:ascii="Bookman Old Style" w:hAnsi="Bookman Old Style" w:cs="Verdana"/>
          <w:sz w:val="22"/>
          <w:szCs w:val="22"/>
        </w:rPr>
        <w:t xml:space="preserve"> conseguire.</w:t>
      </w:r>
    </w:p>
    <w:p w14:paraId="078D9422" w14:textId="6867C911" w:rsidR="00396CDF" w:rsidRPr="006E7C93" w:rsidRDefault="00396CDF" w:rsidP="00202628">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In ogni caso, qual</w:t>
      </w:r>
      <w:r w:rsidR="00A06B3B">
        <w:rPr>
          <w:rFonts w:ascii="Bookman Old Style" w:hAnsi="Bookman Old Style" w:cs="Verdana"/>
          <w:sz w:val="22"/>
          <w:szCs w:val="22"/>
        </w:rPr>
        <w:t xml:space="preserve">e che sia </w:t>
      </w:r>
      <w:r w:rsidRPr="006E7C93">
        <w:rPr>
          <w:rFonts w:ascii="Bookman Old Style" w:hAnsi="Bookman Old Style" w:cs="Verdana"/>
          <w:sz w:val="22"/>
          <w:szCs w:val="22"/>
        </w:rPr>
        <w:t>l’operazione accolta per rendere omogeneo il dato, si potrebbe verificare un effetto paradossale ed ingiusto.</w:t>
      </w:r>
    </w:p>
    <w:p w14:paraId="5D789DC3" w14:textId="44E8E8D0" w:rsidR="00504817" w:rsidRPr="006E7C93" w:rsidRDefault="00F72468" w:rsidP="00202628">
      <w:pPr>
        <w:pStyle w:val="Corpotesto"/>
        <w:spacing w:line="480" w:lineRule="auto"/>
        <w:rPr>
          <w:rFonts w:ascii="Bookman Old Style" w:hAnsi="Bookman Old Style" w:cs="Verdana"/>
          <w:sz w:val="22"/>
          <w:szCs w:val="22"/>
        </w:rPr>
      </w:pPr>
      <w:r>
        <w:rPr>
          <w:rFonts w:ascii="Bookman Old Style" w:hAnsi="Bookman Old Style" w:cs="Verdana"/>
          <w:sz w:val="22"/>
          <w:szCs w:val="22"/>
        </w:rPr>
        <w:t xml:space="preserve">Potrebbero esservi </w:t>
      </w:r>
      <w:r w:rsidR="00A57B5A">
        <w:rPr>
          <w:rFonts w:ascii="Bookman Old Style" w:hAnsi="Bookman Old Style" w:cs="Verdana"/>
          <w:sz w:val="22"/>
          <w:szCs w:val="22"/>
        </w:rPr>
        <w:t>e</w:t>
      </w:r>
      <w:r w:rsidR="00396CDF" w:rsidRPr="006E7C93">
        <w:rPr>
          <w:rFonts w:ascii="Bookman Old Style" w:hAnsi="Bookman Old Style" w:cs="Verdana"/>
          <w:sz w:val="22"/>
          <w:szCs w:val="22"/>
        </w:rPr>
        <w:t>nti locali che nel periodo 2011/2013 (o nell’anno 2015 relativamente al trattamento accessorio) hanno erogato incentivi “tecnici” in un ammontare</w:t>
      </w:r>
      <w:r w:rsidR="006E7876" w:rsidRPr="006E7C93">
        <w:rPr>
          <w:rFonts w:ascii="Bookman Old Style" w:hAnsi="Bookman Old Style" w:cs="Verdana"/>
          <w:sz w:val="22"/>
          <w:szCs w:val="22"/>
        </w:rPr>
        <w:t xml:space="preserve"> consi</w:t>
      </w:r>
      <w:r w:rsidR="007977CF" w:rsidRPr="006E7C93">
        <w:rPr>
          <w:rFonts w:ascii="Bookman Old Style" w:hAnsi="Bookman Old Style" w:cs="Verdana"/>
          <w:sz w:val="22"/>
          <w:szCs w:val="22"/>
        </w:rPr>
        <w:t>derevole,</w:t>
      </w:r>
      <w:r w:rsidR="006E7876" w:rsidRPr="006E7C93">
        <w:rPr>
          <w:rFonts w:ascii="Bookman Old Style" w:hAnsi="Bookman Old Style" w:cs="Verdana"/>
          <w:sz w:val="22"/>
          <w:szCs w:val="22"/>
        </w:rPr>
        <w:t xml:space="preserve"> </w:t>
      </w:r>
      <w:r w:rsidR="00396CDF" w:rsidRPr="006E7C93">
        <w:rPr>
          <w:rFonts w:ascii="Bookman Old Style" w:hAnsi="Bookman Old Style" w:cs="Verdana"/>
          <w:sz w:val="22"/>
          <w:szCs w:val="22"/>
        </w:rPr>
        <w:t xml:space="preserve">in conseguenza di un piano di opere pubbliche significativo. </w:t>
      </w:r>
      <w:r>
        <w:rPr>
          <w:rFonts w:ascii="Bookman Old Style" w:hAnsi="Bookman Old Style" w:cs="Verdana"/>
          <w:sz w:val="22"/>
          <w:szCs w:val="22"/>
        </w:rPr>
        <w:t xml:space="preserve">Gli stessi </w:t>
      </w:r>
      <w:r w:rsidR="00396CDF" w:rsidRPr="006E7C93">
        <w:rPr>
          <w:rFonts w:ascii="Bookman Old Style" w:hAnsi="Bookman Old Style" w:cs="Verdana"/>
          <w:sz w:val="22"/>
          <w:szCs w:val="22"/>
        </w:rPr>
        <w:t xml:space="preserve">si troverebbero ad avere un tetto di spesa rilevante, sia </w:t>
      </w:r>
      <w:r w:rsidR="00396CDF" w:rsidRPr="006E7C93">
        <w:rPr>
          <w:rFonts w:ascii="Bookman Old Style" w:hAnsi="Bookman Old Style" w:cs="Verdana"/>
          <w:sz w:val="22"/>
          <w:szCs w:val="22"/>
        </w:rPr>
        <w:lastRenderedPageBreak/>
        <w:t xml:space="preserve">ai sensi del comma 557, sia ai sensi del comma 236, lasciando ampio spazio alla spesa di personale. </w:t>
      </w:r>
    </w:p>
    <w:p w14:paraId="774931A1" w14:textId="1B781958" w:rsidR="00396CDF" w:rsidRPr="006E7C93" w:rsidRDefault="00A57B5A" w:rsidP="00202628">
      <w:pPr>
        <w:pStyle w:val="Corpotesto"/>
        <w:spacing w:line="480" w:lineRule="auto"/>
        <w:rPr>
          <w:rFonts w:ascii="Bookman Old Style" w:hAnsi="Bookman Old Style" w:cs="Verdana"/>
          <w:sz w:val="22"/>
          <w:szCs w:val="22"/>
        </w:rPr>
      </w:pPr>
      <w:r>
        <w:rPr>
          <w:rFonts w:ascii="Bookman Old Style" w:hAnsi="Bookman Old Style" w:cs="Verdana"/>
          <w:sz w:val="22"/>
          <w:szCs w:val="22"/>
        </w:rPr>
        <w:t>Di contro gli e</w:t>
      </w:r>
      <w:r w:rsidR="00396CDF" w:rsidRPr="006E7C93">
        <w:rPr>
          <w:rFonts w:ascii="Bookman Old Style" w:hAnsi="Bookman Old Style" w:cs="Verdana"/>
          <w:sz w:val="22"/>
          <w:szCs w:val="22"/>
        </w:rPr>
        <w:t xml:space="preserve">nti che </w:t>
      </w:r>
      <w:r w:rsidR="00F72468">
        <w:rPr>
          <w:rFonts w:ascii="Bookman Old Style" w:hAnsi="Bookman Old Style" w:cs="Verdana"/>
          <w:sz w:val="22"/>
          <w:szCs w:val="22"/>
        </w:rPr>
        <w:t xml:space="preserve">in quei particolari </w:t>
      </w:r>
      <w:r w:rsidR="00396CDF" w:rsidRPr="006E7C93">
        <w:rPr>
          <w:rFonts w:ascii="Bookman Old Style" w:hAnsi="Bookman Old Style" w:cs="Verdana"/>
          <w:sz w:val="22"/>
          <w:szCs w:val="22"/>
        </w:rPr>
        <w:t>esercizi non aveva</w:t>
      </w:r>
      <w:r w:rsidR="00FC1BF1" w:rsidRPr="006E7C93">
        <w:rPr>
          <w:rFonts w:ascii="Bookman Old Style" w:hAnsi="Bookman Old Style" w:cs="Verdana"/>
          <w:sz w:val="22"/>
          <w:szCs w:val="22"/>
        </w:rPr>
        <w:t>no</w:t>
      </w:r>
      <w:r w:rsidR="00396CDF" w:rsidRPr="006E7C93">
        <w:rPr>
          <w:rFonts w:ascii="Bookman Old Style" w:hAnsi="Bookman Old Style" w:cs="Verdana"/>
          <w:sz w:val="22"/>
          <w:szCs w:val="22"/>
        </w:rPr>
        <w:t xml:space="preserve"> erogato incentivi, si troverebbero di fatto nelle condizioni sopra descritte di inapplicabilità della norma di cui all’art. </w:t>
      </w:r>
      <w:r>
        <w:rPr>
          <w:rFonts w:ascii="Bookman Old Style" w:hAnsi="Bookman Old Style" w:cs="Verdana"/>
          <w:sz w:val="22"/>
          <w:szCs w:val="22"/>
        </w:rPr>
        <w:t>113</w:t>
      </w:r>
      <w:r w:rsidR="00396CDF" w:rsidRPr="006E7C93">
        <w:rPr>
          <w:rFonts w:ascii="Bookman Old Style" w:hAnsi="Bookman Old Style" w:cs="Verdana"/>
          <w:sz w:val="22"/>
          <w:szCs w:val="22"/>
        </w:rPr>
        <w:t xml:space="preserve"> del d.lgs. 5</w:t>
      </w:r>
      <w:r>
        <w:rPr>
          <w:rFonts w:ascii="Bookman Old Style" w:hAnsi="Bookman Old Style" w:cs="Verdana"/>
          <w:sz w:val="22"/>
          <w:szCs w:val="22"/>
        </w:rPr>
        <w:t xml:space="preserve">0 </w:t>
      </w:r>
      <w:r w:rsidR="00396CDF" w:rsidRPr="006E7C93">
        <w:rPr>
          <w:rFonts w:ascii="Bookman Old Style" w:hAnsi="Bookman Old Style" w:cs="Verdana"/>
          <w:sz w:val="22"/>
          <w:szCs w:val="22"/>
        </w:rPr>
        <w:t>del 2016.</w:t>
      </w:r>
    </w:p>
    <w:p w14:paraId="4E01EDFD" w14:textId="05EB6AEE" w:rsidR="00396CDF" w:rsidRPr="006E7C93" w:rsidRDefault="00396CDF" w:rsidP="00202628">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Ed ancora, una volta fissato il tetto di spesa, questo potrà essere raggiunto anche</w:t>
      </w:r>
      <w:r w:rsidR="00E9159F">
        <w:rPr>
          <w:rFonts w:ascii="Bookman Old Style" w:hAnsi="Bookman Old Style" w:cs="Verdana"/>
          <w:sz w:val="22"/>
          <w:szCs w:val="22"/>
        </w:rPr>
        <w:t xml:space="preserve"> con </w:t>
      </w:r>
      <w:r w:rsidRPr="006E7C93">
        <w:rPr>
          <w:rFonts w:ascii="Bookman Old Style" w:hAnsi="Bookman Old Style" w:cs="Verdana"/>
          <w:sz w:val="22"/>
          <w:szCs w:val="22"/>
        </w:rPr>
        <w:t xml:space="preserve">spese diverse dall’erogazione di incentivi tecnici. </w:t>
      </w:r>
      <w:r w:rsidR="00E9159F">
        <w:rPr>
          <w:rFonts w:ascii="Bookman Old Style" w:hAnsi="Bookman Old Style" w:cs="Verdana"/>
          <w:sz w:val="22"/>
          <w:szCs w:val="22"/>
        </w:rPr>
        <w:t>U</w:t>
      </w:r>
      <w:r w:rsidR="00E71A59" w:rsidRPr="006E7C93">
        <w:rPr>
          <w:rFonts w:ascii="Bookman Old Style" w:hAnsi="Bookman Old Style" w:cs="Verdana"/>
          <w:sz w:val="22"/>
          <w:szCs w:val="22"/>
        </w:rPr>
        <w:t xml:space="preserve">na volta fissato il tetto </w:t>
      </w:r>
      <w:r w:rsidR="00E9159F">
        <w:rPr>
          <w:rFonts w:ascii="Bookman Old Style" w:hAnsi="Bookman Old Style" w:cs="Verdana"/>
          <w:sz w:val="22"/>
          <w:szCs w:val="22"/>
        </w:rPr>
        <w:t>in questione</w:t>
      </w:r>
      <w:r w:rsidR="00E71A59" w:rsidRPr="006E7C93">
        <w:rPr>
          <w:rFonts w:ascii="Bookman Old Style" w:hAnsi="Bookman Old Style" w:cs="Verdana"/>
          <w:sz w:val="22"/>
          <w:szCs w:val="22"/>
        </w:rPr>
        <w:t xml:space="preserve"> di cui al comma 557 in</w:t>
      </w:r>
      <w:r w:rsidR="00FC1BF1" w:rsidRPr="006E7C93">
        <w:rPr>
          <w:rFonts w:ascii="Bookman Old Style" w:hAnsi="Bookman Old Style" w:cs="Verdana"/>
          <w:sz w:val="22"/>
          <w:szCs w:val="22"/>
        </w:rPr>
        <w:t xml:space="preserve"> un determinato importo</w:t>
      </w:r>
      <w:r w:rsidR="00E71A59" w:rsidRPr="006E7C93">
        <w:rPr>
          <w:rFonts w:ascii="Bookman Old Style" w:hAnsi="Bookman Old Style" w:cs="Verdana"/>
          <w:sz w:val="22"/>
          <w:szCs w:val="22"/>
        </w:rPr>
        <w:t>, tale somma nell’esercizio 2017 (e successivi) potrà essere</w:t>
      </w:r>
      <w:r w:rsidR="00E9159F">
        <w:rPr>
          <w:rFonts w:ascii="Bookman Old Style" w:hAnsi="Bookman Old Style" w:cs="Verdana"/>
          <w:sz w:val="22"/>
          <w:szCs w:val="22"/>
        </w:rPr>
        <w:t xml:space="preserve">, difatti, </w:t>
      </w:r>
      <w:r w:rsidR="00E71A59" w:rsidRPr="006E7C93">
        <w:rPr>
          <w:rFonts w:ascii="Bookman Old Style" w:hAnsi="Bookman Old Style" w:cs="Verdana"/>
          <w:sz w:val="22"/>
          <w:szCs w:val="22"/>
        </w:rPr>
        <w:t>composta non necessariamente dagli incentivi tecnici</w:t>
      </w:r>
      <w:r w:rsidR="00E9159F">
        <w:rPr>
          <w:rFonts w:ascii="Bookman Old Style" w:hAnsi="Bookman Old Style" w:cs="Verdana"/>
          <w:sz w:val="22"/>
          <w:szCs w:val="22"/>
        </w:rPr>
        <w:t>,</w:t>
      </w:r>
      <w:r w:rsidR="00E71A59" w:rsidRPr="006E7C93">
        <w:rPr>
          <w:rFonts w:ascii="Bookman Old Style" w:hAnsi="Bookman Old Style" w:cs="Verdana"/>
          <w:sz w:val="22"/>
          <w:szCs w:val="22"/>
        </w:rPr>
        <w:t xml:space="preserve"> bensì anche da altre </w:t>
      </w:r>
      <w:r w:rsidR="00E9159F">
        <w:rPr>
          <w:rFonts w:ascii="Bookman Old Style" w:hAnsi="Bookman Old Style" w:cs="Verdana"/>
          <w:sz w:val="22"/>
          <w:szCs w:val="22"/>
        </w:rPr>
        <w:t>tipologi</w:t>
      </w:r>
      <w:r w:rsidR="00E36496">
        <w:rPr>
          <w:rFonts w:ascii="Bookman Old Style" w:hAnsi="Bookman Old Style" w:cs="Verdana"/>
          <w:sz w:val="22"/>
          <w:szCs w:val="22"/>
        </w:rPr>
        <w:t>e</w:t>
      </w:r>
      <w:r w:rsidR="00E9159F">
        <w:rPr>
          <w:rFonts w:ascii="Bookman Old Style" w:hAnsi="Bookman Old Style" w:cs="Verdana"/>
          <w:sz w:val="22"/>
          <w:szCs w:val="22"/>
        </w:rPr>
        <w:t xml:space="preserve"> di </w:t>
      </w:r>
      <w:r w:rsidR="00E71A59" w:rsidRPr="006E7C93">
        <w:rPr>
          <w:rFonts w:ascii="Bookman Old Style" w:hAnsi="Bookman Old Style" w:cs="Verdana"/>
          <w:sz w:val="22"/>
          <w:szCs w:val="22"/>
        </w:rPr>
        <w:t>spes</w:t>
      </w:r>
      <w:r w:rsidR="00E9159F">
        <w:rPr>
          <w:rFonts w:ascii="Bookman Old Style" w:hAnsi="Bookman Old Style" w:cs="Verdana"/>
          <w:sz w:val="22"/>
          <w:szCs w:val="22"/>
        </w:rPr>
        <w:t>e</w:t>
      </w:r>
      <w:r w:rsidR="00E71A59" w:rsidRPr="006E7C93">
        <w:rPr>
          <w:rFonts w:ascii="Bookman Old Style" w:hAnsi="Bookman Old Style" w:cs="Verdana"/>
          <w:sz w:val="22"/>
          <w:szCs w:val="22"/>
        </w:rPr>
        <w:t xml:space="preserve"> che, diversamente, l’ente non avrebbe potuto sostenere (aumentando di fatto </w:t>
      </w:r>
      <w:r w:rsidR="00C03B0F">
        <w:rPr>
          <w:rFonts w:ascii="Bookman Old Style" w:hAnsi="Bookman Old Style" w:cs="Verdana"/>
          <w:sz w:val="22"/>
          <w:szCs w:val="22"/>
        </w:rPr>
        <w:t xml:space="preserve">l’aggregato relativo al </w:t>
      </w:r>
      <w:r w:rsidR="00E71A59" w:rsidRPr="006E7C93">
        <w:rPr>
          <w:rFonts w:ascii="Bookman Old Style" w:hAnsi="Bookman Old Style" w:cs="Verdana"/>
          <w:sz w:val="22"/>
          <w:szCs w:val="22"/>
        </w:rPr>
        <w:t>personale).</w:t>
      </w:r>
    </w:p>
    <w:p w14:paraId="3B13F088" w14:textId="27FD3BE7" w:rsidR="00E71A59" w:rsidRPr="00FD2AC1" w:rsidRDefault="00E71A59" w:rsidP="00202628">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Lo stesso dicasi per il limite alle risorse per la contrattazione decentrata. Se l’</w:t>
      </w:r>
      <w:r w:rsidR="001170A6">
        <w:rPr>
          <w:rFonts w:ascii="Bookman Old Style" w:hAnsi="Bookman Old Style" w:cs="Verdana"/>
          <w:sz w:val="22"/>
          <w:szCs w:val="22"/>
        </w:rPr>
        <w:t>e</w:t>
      </w:r>
      <w:r w:rsidRPr="006E7C93">
        <w:rPr>
          <w:rFonts w:ascii="Bookman Old Style" w:hAnsi="Bookman Old Style" w:cs="Verdana"/>
          <w:sz w:val="22"/>
          <w:szCs w:val="22"/>
        </w:rPr>
        <w:t xml:space="preserve">nte calcola tali incentivi nel corso del 2015, il limite di spesa aumenterà dello stesso ammontare. Ma essendo il limite un valore assoluto </w:t>
      </w:r>
      <w:r w:rsidR="00FC1BF1" w:rsidRPr="006E7C93">
        <w:rPr>
          <w:rFonts w:ascii="Bookman Old Style" w:hAnsi="Bookman Old Style" w:cs="Verdana"/>
          <w:sz w:val="22"/>
          <w:szCs w:val="22"/>
        </w:rPr>
        <w:t>(</w:t>
      </w:r>
      <w:r w:rsidRPr="006E7C93">
        <w:rPr>
          <w:rFonts w:ascii="Bookman Old Style" w:hAnsi="Bookman Old Style" w:cs="Verdana"/>
          <w:sz w:val="22"/>
          <w:szCs w:val="22"/>
        </w:rPr>
        <w:t>non disaggregabile)</w:t>
      </w:r>
      <w:r w:rsidR="00C03B0F">
        <w:rPr>
          <w:rFonts w:ascii="Bookman Old Style" w:hAnsi="Bookman Old Style" w:cs="Verdana"/>
          <w:sz w:val="22"/>
          <w:szCs w:val="22"/>
        </w:rPr>
        <w:t>,</w:t>
      </w:r>
      <w:r w:rsidRPr="006E7C93">
        <w:rPr>
          <w:rFonts w:ascii="Bookman Old Style" w:hAnsi="Bookman Old Style" w:cs="Verdana"/>
          <w:sz w:val="22"/>
          <w:szCs w:val="22"/>
        </w:rPr>
        <w:t xml:space="preserve"> l’</w:t>
      </w:r>
      <w:r w:rsidR="007F7382">
        <w:rPr>
          <w:rFonts w:ascii="Bookman Old Style" w:hAnsi="Bookman Old Style" w:cs="Verdana"/>
          <w:sz w:val="22"/>
          <w:szCs w:val="22"/>
        </w:rPr>
        <w:t>e</w:t>
      </w:r>
      <w:r w:rsidRPr="006E7C93">
        <w:rPr>
          <w:rFonts w:ascii="Bookman Old Style" w:hAnsi="Bookman Old Style" w:cs="Verdana"/>
          <w:sz w:val="22"/>
          <w:szCs w:val="22"/>
        </w:rPr>
        <w:t>nte</w:t>
      </w:r>
      <w:r w:rsidR="00C03B0F">
        <w:rPr>
          <w:rFonts w:ascii="Bookman Old Style" w:hAnsi="Bookman Old Style" w:cs="Verdana"/>
          <w:sz w:val="22"/>
          <w:szCs w:val="22"/>
        </w:rPr>
        <w:t>,</w:t>
      </w:r>
      <w:r w:rsidRPr="006E7C93">
        <w:rPr>
          <w:rFonts w:ascii="Bookman Old Style" w:hAnsi="Bookman Old Style" w:cs="Verdana"/>
          <w:sz w:val="22"/>
          <w:szCs w:val="22"/>
        </w:rPr>
        <w:t xml:space="preserve"> negli esercizi successivi, pur in mancanza di contratti e, quindi, di </w:t>
      </w:r>
      <w:r w:rsidRPr="00FD2AC1">
        <w:rPr>
          <w:rFonts w:ascii="Bookman Old Style" w:hAnsi="Bookman Old Style" w:cs="Verdana"/>
          <w:sz w:val="22"/>
          <w:szCs w:val="22"/>
        </w:rPr>
        <w:t>incentivi tecnici, potrà aumentare le risorse accessorie sino a</w:t>
      </w:r>
      <w:r w:rsidR="00FC1BF1" w:rsidRPr="00FD2AC1">
        <w:rPr>
          <w:rFonts w:ascii="Bookman Old Style" w:hAnsi="Bookman Old Style" w:cs="Verdana"/>
          <w:sz w:val="22"/>
          <w:szCs w:val="22"/>
        </w:rPr>
        <w:t>l raggiungimento di</w:t>
      </w:r>
      <w:r w:rsidRPr="00FD2AC1">
        <w:rPr>
          <w:rFonts w:ascii="Bookman Old Style" w:hAnsi="Bookman Old Style" w:cs="Verdana"/>
          <w:sz w:val="22"/>
          <w:szCs w:val="22"/>
        </w:rPr>
        <w:t xml:space="preserve"> tale nuovo limite.</w:t>
      </w:r>
      <w:r w:rsidR="00FD2AC1" w:rsidRPr="00FD2AC1">
        <w:rPr>
          <w:rFonts w:ascii="Bookman Old Style" w:hAnsi="Bookman Old Style" w:cs="Lucida Sans Unicode"/>
          <w:color w:val="000000"/>
          <w:sz w:val="22"/>
          <w:szCs w:val="22"/>
          <w:shd w:val="clear" w:color="auto" w:fill="FFFFFF"/>
        </w:rPr>
        <w:t xml:space="preserve"> </w:t>
      </w:r>
      <w:r w:rsidR="00FD2AC1">
        <w:rPr>
          <w:rFonts w:ascii="Bookman Old Style" w:hAnsi="Bookman Old Style" w:cs="Lucida Sans Unicode"/>
          <w:color w:val="000000"/>
          <w:sz w:val="22"/>
          <w:szCs w:val="22"/>
          <w:shd w:val="clear" w:color="auto" w:fill="FFFFFF"/>
        </w:rPr>
        <w:t>In tal senso l</w:t>
      </w:r>
      <w:r w:rsidR="00FD2AC1" w:rsidRPr="00FD2AC1">
        <w:rPr>
          <w:rFonts w:ascii="Bookman Old Style" w:hAnsi="Bookman Old Style" w:cs="Lucida Sans Unicode"/>
          <w:color w:val="000000"/>
          <w:sz w:val="22"/>
          <w:szCs w:val="22"/>
          <w:shd w:val="clear" w:color="auto" w:fill="FFFFFF"/>
        </w:rPr>
        <w:t xml:space="preserve">a Sezione </w:t>
      </w:r>
      <w:r w:rsidR="00666478">
        <w:rPr>
          <w:rFonts w:ascii="Bookman Old Style" w:hAnsi="Bookman Old Style" w:cs="Lucida Sans Unicode"/>
          <w:color w:val="000000"/>
          <w:sz w:val="22"/>
          <w:szCs w:val="22"/>
          <w:shd w:val="clear" w:color="auto" w:fill="FFFFFF"/>
        </w:rPr>
        <w:t xml:space="preserve">delle </w:t>
      </w:r>
      <w:r w:rsidR="00FD2AC1" w:rsidRPr="00FD2AC1">
        <w:rPr>
          <w:rFonts w:ascii="Bookman Old Style" w:hAnsi="Bookman Old Style" w:cs="Lucida Sans Unicode"/>
          <w:color w:val="000000"/>
          <w:sz w:val="22"/>
          <w:szCs w:val="22"/>
          <w:shd w:val="clear" w:color="auto" w:fill="FFFFFF"/>
        </w:rPr>
        <w:t>Autonomie, con delibera n. 26 del 2014</w:t>
      </w:r>
      <w:r w:rsidR="00FD2AC1">
        <w:rPr>
          <w:rFonts w:ascii="Bookman Old Style" w:hAnsi="Bookman Old Style" w:cs="Lucida Sans Unicode"/>
          <w:color w:val="000000"/>
          <w:sz w:val="22"/>
          <w:szCs w:val="22"/>
          <w:shd w:val="clear" w:color="auto" w:fill="FFFFFF"/>
        </w:rPr>
        <w:t xml:space="preserve">, </w:t>
      </w:r>
      <w:r w:rsidR="00FD2AC1" w:rsidRPr="00FD2AC1">
        <w:rPr>
          <w:rFonts w:ascii="Bookman Old Style" w:hAnsi="Bookman Old Style" w:cs="Lucida Sans Unicode"/>
          <w:color w:val="000000"/>
          <w:sz w:val="22"/>
          <w:szCs w:val="22"/>
          <w:shd w:val="clear" w:color="auto" w:fill="FFFFFF"/>
        </w:rPr>
        <w:t>ha riconosciuto che il vincolo debba riferirsi </w:t>
      </w:r>
      <w:r w:rsidR="00FD2AC1" w:rsidRPr="00FD2AC1">
        <w:rPr>
          <w:rFonts w:ascii="Bookman Old Style" w:hAnsi="Bookman Old Style" w:cs="Lucida Sans Unicode"/>
          <w:bCs/>
          <w:color w:val="000000"/>
          <w:sz w:val="22"/>
          <w:szCs w:val="22"/>
          <w:shd w:val="clear" w:color="auto" w:fill="FFFFFF"/>
        </w:rPr>
        <w:t>all’ammontare complessivo del trattamento accessorio e non alle sue s</w:t>
      </w:r>
      <w:r w:rsidR="00C03B0F">
        <w:rPr>
          <w:rFonts w:ascii="Bookman Old Style" w:hAnsi="Bookman Old Style" w:cs="Lucida Sans Unicode"/>
          <w:bCs/>
          <w:color w:val="000000"/>
          <w:sz w:val="22"/>
          <w:szCs w:val="22"/>
          <w:shd w:val="clear" w:color="auto" w:fill="FFFFFF"/>
        </w:rPr>
        <w:t xml:space="preserve">ingole componenti (orientamento questo </w:t>
      </w:r>
      <w:r w:rsidR="00FD2AC1" w:rsidRPr="00FD2AC1">
        <w:rPr>
          <w:rFonts w:ascii="Bookman Old Style" w:hAnsi="Bookman Old Style" w:cs="Lucida Sans Unicode"/>
          <w:bCs/>
          <w:color w:val="000000"/>
          <w:sz w:val="22"/>
          <w:szCs w:val="22"/>
          <w:shd w:val="clear" w:color="auto" w:fill="FFFFFF"/>
        </w:rPr>
        <w:t xml:space="preserve">confermato </w:t>
      </w:r>
      <w:r w:rsidR="00C03B0F">
        <w:rPr>
          <w:rFonts w:ascii="Bookman Old Style" w:hAnsi="Bookman Old Style" w:cs="Lucida Sans Unicode"/>
          <w:bCs/>
          <w:color w:val="000000"/>
          <w:sz w:val="22"/>
          <w:szCs w:val="22"/>
          <w:shd w:val="clear" w:color="auto" w:fill="FFFFFF"/>
        </w:rPr>
        <w:t xml:space="preserve">anche </w:t>
      </w:r>
      <w:r w:rsidR="00FD2AC1" w:rsidRPr="00FD2AC1">
        <w:rPr>
          <w:rFonts w:ascii="Bookman Old Style" w:hAnsi="Bookman Old Style" w:cs="Lucida Sans Unicode"/>
          <w:bCs/>
          <w:color w:val="000000"/>
          <w:sz w:val="22"/>
          <w:szCs w:val="22"/>
          <w:shd w:val="clear" w:color="auto" w:fill="FFFFFF"/>
        </w:rPr>
        <w:t xml:space="preserve">dalla Sezione di controllo </w:t>
      </w:r>
      <w:r w:rsidR="00C03B0F">
        <w:rPr>
          <w:rFonts w:ascii="Bookman Old Style" w:hAnsi="Bookman Old Style" w:cs="Lucida Sans Unicode"/>
          <w:color w:val="000000"/>
          <w:sz w:val="22"/>
          <w:szCs w:val="22"/>
          <w:shd w:val="clear" w:color="auto" w:fill="FFFFFF"/>
        </w:rPr>
        <w:t>dell’Emilia Romagna</w:t>
      </w:r>
      <w:r w:rsidR="00FD2AC1" w:rsidRPr="00FD2AC1">
        <w:rPr>
          <w:rFonts w:ascii="Bookman Old Style" w:hAnsi="Bookman Old Style" w:cs="Lucida Sans Unicode"/>
          <w:color w:val="000000"/>
          <w:sz w:val="22"/>
          <w:szCs w:val="22"/>
          <w:shd w:val="clear" w:color="auto" w:fill="FFFFFF"/>
        </w:rPr>
        <w:t xml:space="preserve"> con deliberazione n. </w:t>
      </w:r>
      <w:r w:rsidR="00FD2AC1">
        <w:rPr>
          <w:rFonts w:ascii="Bookman Old Style" w:hAnsi="Bookman Old Style" w:cs="Lucida Sans Unicode"/>
          <w:color w:val="000000"/>
          <w:sz w:val="22"/>
          <w:szCs w:val="22"/>
          <w:shd w:val="clear" w:color="auto" w:fill="FFFFFF"/>
        </w:rPr>
        <w:t xml:space="preserve">100 del </w:t>
      </w:r>
      <w:r w:rsidR="00FD2AC1" w:rsidRPr="00FD2AC1">
        <w:rPr>
          <w:rFonts w:ascii="Bookman Old Style" w:hAnsi="Bookman Old Style" w:cs="Lucida Sans Unicode"/>
          <w:color w:val="000000"/>
          <w:sz w:val="22"/>
          <w:szCs w:val="22"/>
          <w:shd w:val="clear" w:color="auto" w:fill="FFFFFF"/>
        </w:rPr>
        <w:t>2017</w:t>
      </w:r>
      <w:r w:rsidR="00FD2AC1">
        <w:rPr>
          <w:rFonts w:ascii="Bookman Old Style" w:hAnsi="Bookman Old Style" w:cs="Lucida Sans Unicode"/>
          <w:color w:val="000000"/>
          <w:sz w:val="22"/>
          <w:szCs w:val="22"/>
          <w:shd w:val="clear" w:color="auto" w:fill="FFFFFF"/>
        </w:rPr>
        <w:t>,</w:t>
      </w:r>
      <w:r w:rsidR="00FD2AC1" w:rsidRPr="00FD2AC1">
        <w:rPr>
          <w:rFonts w:ascii="Bookman Old Style" w:hAnsi="Bookman Old Style" w:cs="Lucida Sans Unicode"/>
          <w:color w:val="000000"/>
          <w:sz w:val="22"/>
          <w:szCs w:val="22"/>
          <w:shd w:val="clear" w:color="auto" w:fill="FFFFFF"/>
        </w:rPr>
        <w:t xml:space="preserve"> e dalla Sezione di controllo per il Piemonte </w:t>
      </w:r>
      <w:r w:rsidR="00A57B5A">
        <w:rPr>
          <w:rFonts w:ascii="Bookman Old Style" w:hAnsi="Bookman Old Style" w:cs="Lucida Sans Unicode"/>
          <w:color w:val="000000"/>
          <w:sz w:val="22"/>
          <w:szCs w:val="22"/>
          <w:shd w:val="clear" w:color="auto" w:fill="FFFFFF"/>
        </w:rPr>
        <w:t xml:space="preserve">con </w:t>
      </w:r>
      <w:r w:rsidR="00C03B0F">
        <w:rPr>
          <w:rFonts w:ascii="Bookman Old Style" w:hAnsi="Bookman Old Style" w:cs="Lucida Sans Unicode"/>
          <w:color w:val="000000"/>
          <w:sz w:val="22"/>
          <w:szCs w:val="22"/>
          <w:shd w:val="clear" w:color="auto" w:fill="FFFFFF"/>
        </w:rPr>
        <w:t>d</w:t>
      </w:r>
      <w:r w:rsidR="00FD2AC1" w:rsidRPr="00FD2AC1">
        <w:rPr>
          <w:rFonts w:ascii="Bookman Old Style" w:hAnsi="Bookman Old Style" w:cs="Lucida Sans Unicode"/>
          <w:color w:val="000000"/>
          <w:sz w:val="22"/>
          <w:szCs w:val="22"/>
          <w:shd w:val="clear" w:color="auto" w:fill="FFFFFF"/>
        </w:rPr>
        <w:t>eliberazione n. 135 del 2016)</w:t>
      </w:r>
      <w:r w:rsidR="00FD2AC1">
        <w:rPr>
          <w:rFonts w:ascii="Bookman Old Style" w:hAnsi="Bookman Old Style" w:cs="Lucida Sans Unicode"/>
          <w:color w:val="000000"/>
          <w:sz w:val="22"/>
          <w:szCs w:val="22"/>
          <w:shd w:val="clear" w:color="auto" w:fill="FFFFFF"/>
        </w:rPr>
        <w:t>.</w:t>
      </w:r>
    </w:p>
    <w:p w14:paraId="06FF6149" w14:textId="5EE853E3" w:rsidR="00E71A59" w:rsidRDefault="00E71A59" w:rsidP="00202628">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 xml:space="preserve">Di contro, come già osservato, gli </w:t>
      </w:r>
      <w:r w:rsidR="00A57B5A">
        <w:rPr>
          <w:rFonts w:ascii="Bookman Old Style" w:hAnsi="Bookman Old Style" w:cs="Verdana"/>
          <w:sz w:val="22"/>
          <w:szCs w:val="22"/>
        </w:rPr>
        <w:t>e</w:t>
      </w:r>
      <w:r w:rsidRPr="006E7C93">
        <w:rPr>
          <w:rFonts w:ascii="Bookman Old Style" w:hAnsi="Bookman Old Style" w:cs="Verdana"/>
          <w:sz w:val="22"/>
          <w:szCs w:val="22"/>
        </w:rPr>
        <w:t>nti che invece non hanno erogato incentivi nel corso del 2015, si trov</w:t>
      </w:r>
      <w:r w:rsidR="00C03B0F">
        <w:rPr>
          <w:rFonts w:ascii="Bookman Old Style" w:hAnsi="Bookman Old Style" w:cs="Verdana"/>
          <w:sz w:val="22"/>
          <w:szCs w:val="22"/>
        </w:rPr>
        <w:t xml:space="preserve">erebbero </w:t>
      </w:r>
      <w:r w:rsidRPr="006E7C93">
        <w:rPr>
          <w:rFonts w:ascii="Bookman Old Style" w:hAnsi="Bookman Old Style" w:cs="Verdana"/>
          <w:sz w:val="22"/>
          <w:szCs w:val="22"/>
        </w:rPr>
        <w:t xml:space="preserve">in una situazione di inapplicabilità della norma di cui </w:t>
      </w:r>
      <w:r w:rsidR="00A57B5A">
        <w:rPr>
          <w:rFonts w:ascii="Bookman Old Style" w:hAnsi="Bookman Old Style" w:cs="Verdana"/>
          <w:sz w:val="22"/>
          <w:szCs w:val="22"/>
        </w:rPr>
        <w:t>al</w:t>
      </w:r>
      <w:r w:rsidRPr="006E7C93">
        <w:rPr>
          <w:rFonts w:ascii="Bookman Old Style" w:hAnsi="Bookman Old Style" w:cs="Verdana"/>
          <w:sz w:val="22"/>
          <w:szCs w:val="22"/>
        </w:rPr>
        <w:t xml:space="preserve"> comma 2 dell’art. 113 del nuovo codice dei contratti.</w:t>
      </w:r>
    </w:p>
    <w:p w14:paraId="76BCE5A7" w14:textId="77777777" w:rsidR="00A57B5A" w:rsidRDefault="00FD2AC1" w:rsidP="00202628">
      <w:pPr>
        <w:pStyle w:val="Corpotesto"/>
        <w:spacing w:line="480" w:lineRule="auto"/>
        <w:rPr>
          <w:rFonts w:ascii="Bookman Old Style" w:hAnsi="Bookman Old Style" w:cs="Verdana"/>
          <w:sz w:val="22"/>
          <w:szCs w:val="22"/>
        </w:rPr>
      </w:pPr>
      <w:r>
        <w:rPr>
          <w:rFonts w:ascii="Bookman Old Style" w:hAnsi="Bookman Old Style" w:cs="Verdana"/>
          <w:sz w:val="22"/>
          <w:szCs w:val="22"/>
        </w:rPr>
        <w:lastRenderedPageBreak/>
        <w:t>Le osservazioni sin qui svolte, e l’interpretazione del quadro normativo offerta, rimangono valide anche alla luce dell’art. 23 del d.lgs. 75 del 2017 ch</w:t>
      </w:r>
      <w:r w:rsidR="00177AA1">
        <w:rPr>
          <w:rFonts w:ascii="Bookman Old Style" w:hAnsi="Bookman Old Style" w:cs="Verdana"/>
          <w:sz w:val="22"/>
          <w:szCs w:val="22"/>
        </w:rPr>
        <w:t>e ha introdotto un nuovo limite, statuendo che</w:t>
      </w:r>
      <w:r>
        <w:rPr>
          <w:rFonts w:ascii="Bookman Old Style" w:hAnsi="Bookman Old Style" w:cs="Verdana"/>
          <w:sz w:val="22"/>
          <w:szCs w:val="22"/>
        </w:rPr>
        <w:t xml:space="preserve"> “</w:t>
      </w:r>
      <w:r w:rsidRPr="00FD2AC1">
        <w:rPr>
          <w:rFonts w:ascii="Bookman Old Style" w:hAnsi="Bookman Old Style" w:cs="Verdana"/>
          <w:i/>
          <w:sz w:val="22"/>
          <w:szCs w:val="22"/>
        </w:rPr>
        <w:t>Nelle more di quanto previsto dal comma 1, al fine di assicurare la semplificazione amministrativa, la valorizzazione del merito, la qualità dei servizi e garantire adeguati livelli di efficienza ed economicità dell'azione amministrativa, assicurando al contempo l'invarianza della spesa, a decorrere dal 1° gennaio 2017, l'ammontare complessivo delle risorse destinate annualmente al trattamento accessorio del personale, anche di livello dirigenziale, di ciascuna delle amministrazioni pubbliche di cui all'articolo 1, comma 2, del decreto legislativo 30 marzo 2001, n. 165, non può superare il corrispondente importo determinato per l'anno 2016. A decorrere dalla predetta data l'articolo 1, comma 236, della legge 28 dicembre 2015, n. 208 è abrogato. Per gli enti locali che non hanno potuto destinare nell'anno 2016 risorse aggiuntive alla contrattazione integrativa a causa del mancato rispetto del patto di stabilità interno del 2015, l'ammontare complessivo delle risorse di cui al primo periodo del presente comma non può superare il corrispondente importo determinato per l'anno 2015, ridotto in misura proporzionale alla riduzione del personale in servizio nell'anno 2016</w:t>
      </w:r>
      <w:r>
        <w:rPr>
          <w:rFonts w:ascii="Bookman Old Style" w:hAnsi="Bookman Old Style" w:cs="Verdana"/>
          <w:i/>
          <w:sz w:val="22"/>
          <w:szCs w:val="22"/>
        </w:rPr>
        <w:t>”</w:t>
      </w:r>
      <w:r w:rsidRPr="00FD2AC1">
        <w:rPr>
          <w:rFonts w:ascii="Bookman Old Style" w:hAnsi="Bookman Old Style" w:cs="Verdana"/>
          <w:i/>
          <w:sz w:val="22"/>
          <w:szCs w:val="22"/>
        </w:rPr>
        <w:t>.</w:t>
      </w:r>
      <w:r>
        <w:rPr>
          <w:rFonts w:ascii="Bookman Old Style" w:hAnsi="Bookman Old Style" w:cs="Verdana"/>
          <w:sz w:val="22"/>
          <w:szCs w:val="22"/>
        </w:rPr>
        <w:t xml:space="preserve"> </w:t>
      </w:r>
    </w:p>
    <w:p w14:paraId="0E43D2C3" w14:textId="00878233" w:rsidR="00FD2AC1" w:rsidRDefault="00FD2AC1" w:rsidP="00202628">
      <w:pPr>
        <w:pStyle w:val="Corpotesto"/>
        <w:spacing w:line="480" w:lineRule="auto"/>
        <w:rPr>
          <w:rFonts w:ascii="Bookman Old Style" w:hAnsi="Bookman Old Style" w:cs="Verdana"/>
          <w:sz w:val="22"/>
          <w:szCs w:val="22"/>
        </w:rPr>
      </w:pPr>
      <w:r w:rsidRPr="003E18D9">
        <w:rPr>
          <w:rFonts w:ascii="Bookman Old Style" w:hAnsi="Bookman Old Style" w:cs="Verdana"/>
          <w:sz w:val="22"/>
          <w:szCs w:val="22"/>
        </w:rPr>
        <w:t>Ciò</w:t>
      </w:r>
      <w:r w:rsidR="00A57B5A" w:rsidRPr="003E18D9">
        <w:rPr>
          <w:rFonts w:ascii="Bookman Old Style" w:hAnsi="Bookman Old Style" w:cs="Verdana"/>
          <w:sz w:val="22"/>
          <w:szCs w:val="22"/>
        </w:rPr>
        <w:t xml:space="preserve"> che, di peculiare, </w:t>
      </w:r>
      <w:r w:rsidR="003E18D9" w:rsidRPr="003E18D9">
        <w:rPr>
          <w:rFonts w:ascii="Bookman Old Style" w:hAnsi="Bookman Old Style" w:cs="Verdana"/>
          <w:sz w:val="22"/>
          <w:szCs w:val="22"/>
        </w:rPr>
        <w:t>traspare da tale più recente</w:t>
      </w:r>
      <w:r w:rsidRPr="003E18D9">
        <w:rPr>
          <w:rFonts w:ascii="Bookman Old Style" w:hAnsi="Bookman Old Style" w:cs="Verdana"/>
          <w:sz w:val="22"/>
          <w:szCs w:val="22"/>
        </w:rPr>
        <w:t xml:space="preserve"> norma è la mancanza del riferimento, per la materiale quantificazione del tetto di spesa complessivo annuale per il trattamento accessorio del personale, della riduzione proporzionale del fondo riferita alle cessazioni del personale in servizio.</w:t>
      </w:r>
    </w:p>
    <w:p w14:paraId="5AF940E1" w14:textId="02DD3366" w:rsidR="00E71A59" w:rsidRDefault="00E71A59" w:rsidP="00202628">
      <w:pPr>
        <w:pStyle w:val="Corpotesto"/>
        <w:spacing w:line="480" w:lineRule="auto"/>
        <w:rPr>
          <w:rFonts w:ascii="Bookman Old Style" w:hAnsi="Bookman Old Style" w:cs="Verdana"/>
          <w:sz w:val="22"/>
          <w:szCs w:val="22"/>
        </w:rPr>
      </w:pPr>
      <w:r w:rsidRPr="006E7C93">
        <w:rPr>
          <w:rFonts w:ascii="Bookman Old Style" w:hAnsi="Bookman Old Style" w:cs="Verdana"/>
          <w:sz w:val="22"/>
          <w:szCs w:val="22"/>
        </w:rPr>
        <w:t>Per tutt</w:t>
      </w:r>
      <w:r w:rsidR="00FC1BF1" w:rsidRPr="006E7C93">
        <w:rPr>
          <w:rFonts w:ascii="Bookman Old Style" w:hAnsi="Bookman Old Style" w:cs="Verdana"/>
          <w:sz w:val="22"/>
          <w:szCs w:val="22"/>
        </w:rPr>
        <w:t xml:space="preserve">o </w:t>
      </w:r>
      <w:r w:rsidRPr="006E7C93">
        <w:rPr>
          <w:rFonts w:ascii="Bookman Old Style" w:hAnsi="Bookman Old Style" w:cs="Verdana"/>
          <w:sz w:val="22"/>
          <w:szCs w:val="22"/>
        </w:rPr>
        <w:t xml:space="preserve">quanto </w:t>
      </w:r>
      <w:r w:rsidR="003E18D9">
        <w:rPr>
          <w:rFonts w:ascii="Bookman Old Style" w:hAnsi="Bookman Old Style" w:cs="Verdana"/>
          <w:sz w:val="22"/>
          <w:szCs w:val="22"/>
        </w:rPr>
        <w:t>sin qui esposto</w:t>
      </w:r>
      <w:r w:rsidRPr="006E7C93">
        <w:rPr>
          <w:rFonts w:ascii="Bookman Old Style" w:hAnsi="Bookman Old Style" w:cs="Verdana"/>
          <w:sz w:val="22"/>
          <w:szCs w:val="22"/>
        </w:rPr>
        <w:t>, il Collegio ritiene che gli incentivi tecnici previsti dal nuovo codice degli appalti debbano essere esclusi dal computo della spesa rilevante ai fini del rispetto del tetto di spesa compl</w:t>
      </w:r>
      <w:r w:rsidR="003E18D9">
        <w:rPr>
          <w:rFonts w:ascii="Bookman Old Style" w:hAnsi="Bookman Old Style" w:cs="Verdana"/>
          <w:sz w:val="22"/>
          <w:szCs w:val="22"/>
        </w:rPr>
        <w:t xml:space="preserve">essivo per il personale (art. 1, </w:t>
      </w:r>
      <w:r w:rsidRPr="006E7C93">
        <w:rPr>
          <w:rFonts w:ascii="Bookman Old Style" w:hAnsi="Bookman Old Style" w:cs="Verdana"/>
          <w:sz w:val="22"/>
          <w:szCs w:val="22"/>
        </w:rPr>
        <w:t>comma 557 della legge n. 296 del 2006), nonché</w:t>
      </w:r>
      <w:r w:rsidRPr="00E71A59">
        <w:rPr>
          <w:rFonts w:ascii="Bookman Old Style" w:hAnsi="Bookman Old Style" w:cs="Verdana"/>
          <w:sz w:val="22"/>
          <w:szCs w:val="22"/>
        </w:rPr>
        <w:t xml:space="preserve"> dei limiti stabiliti per le </w:t>
      </w:r>
      <w:r w:rsidRPr="00E71A59">
        <w:rPr>
          <w:rFonts w:ascii="Bookman Old Style" w:hAnsi="Bookman Old Style" w:cs="Verdana"/>
          <w:sz w:val="22"/>
          <w:szCs w:val="22"/>
        </w:rPr>
        <w:lastRenderedPageBreak/>
        <w:t>risorse destinate annualmente al trattamento accessorio del personale (art. 1, comma 236, della legge n. 208</w:t>
      </w:r>
      <w:r w:rsidR="002A628E">
        <w:rPr>
          <w:rFonts w:ascii="Bookman Old Style" w:hAnsi="Bookman Old Style" w:cs="Verdana"/>
          <w:sz w:val="22"/>
          <w:szCs w:val="22"/>
        </w:rPr>
        <w:t xml:space="preserve"> del </w:t>
      </w:r>
      <w:r w:rsidRPr="00E71A59">
        <w:rPr>
          <w:rFonts w:ascii="Bookman Old Style" w:hAnsi="Bookman Old Style" w:cs="Verdana"/>
          <w:sz w:val="22"/>
          <w:szCs w:val="22"/>
        </w:rPr>
        <w:t>2015)</w:t>
      </w:r>
      <w:r>
        <w:rPr>
          <w:rFonts w:ascii="Bookman Old Style" w:hAnsi="Bookman Old Style" w:cs="Verdana"/>
          <w:sz w:val="22"/>
          <w:szCs w:val="22"/>
        </w:rPr>
        <w:t>.</w:t>
      </w:r>
    </w:p>
    <w:p w14:paraId="273AE0DD" w14:textId="77777777" w:rsidR="007F752F" w:rsidRDefault="007F752F" w:rsidP="00202628">
      <w:pPr>
        <w:pStyle w:val="Corpotesto"/>
        <w:spacing w:line="480" w:lineRule="auto"/>
        <w:rPr>
          <w:rFonts w:ascii="Bookman Old Style" w:hAnsi="Bookman Old Style" w:cs="Verdana"/>
          <w:sz w:val="22"/>
          <w:szCs w:val="22"/>
        </w:rPr>
      </w:pPr>
    </w:p>
    <w:p w14:paraId="18D1520F" w14:textId="77777777" w:rsidR="002A628E" w:rsidRPr="002A628E" w:rsidRDefault="002A628E" w:rsidP="002A628E">
      <w:pPr>
        <w:pStyle w:val="Corpotesto"/>
        <w:spacing w:line="480" w:lineRule="auto"/>
        <w:jc w:val="center"/>
        <w:rPr>
          <w:rFonts w:ascii="Bookman Old Style" w:hAnsi="Bookman Old Style" w:cs="Verdana"/>
          <w:sz w:val="22"/>
          <w:szCs w:val="22"/>
        </w:rPr>
      </w:pPr>
      <w:r w:rsidRPr="002A628E">
        <w:rPr>
          <w:rFonts w:ascii="Bookman Old Style" w:hAnsi="Bookman Old Style" w:cs="Verdana"/>
          <w:b/>
          <w:sz w:val="22"/>
          <w:szCs w:val="22"/>
        </w:rPr>
        <w:t>P.Q.M.</w:t>
      </w:r>
    </w:p>
    <w:p w14:paraId="3145BFC6" w14:textId="45FBE743" w:rsidR="002A628E" w:rsidRPr="007F752F" w:rsidRDefault="002A628E" w:rsidP="002A628E">
      <w:pPr>
        <w:pStyle w:val="Corpotesto"/>
        <w:spacing w:line="480" w:lineRule="auto"/>
        <w:rPr>
          <w:rFonts w:ascii="Bookman Old Style" w:hAnsi="Bookman Old Style" w:cs="Verdana"/>
          <w:sz w:val="22"/>
          <w:szCs w:val="22"/>
        </w:rPr>
      </w:pPr>
      <w:r w:rsidRPr="002A628E">
        <w:rPr>
          <w:rFonts w:ascii="Bookman Old Style" w:hAnsi="Bookman Old Style" w:cs="Verdana"/>
          <w:sz w:val="22"/>
          <w:szCs w:val="22"/>
        </w:rPr>
        <w:t xml:space="preserve">la </w:t>
      </w:r>
      <w:r w:rsidRPr="007F752F">
        <w:rPr>
          <w:rFonts w:ascii="Bookman Old Style" w:hAnsi="Bookman Old Style" w:cs="Verdana"/>
          <w:sz w:val="22"/>
          <w:szCs w:val="22"/>
        </w:rPr>
        <w:t>Sezione, considerata l’esigenza di un’interpretazione uniforme della normativa disciplinante gli incentivi tecnici di cui a</w:t>
      </w:r>
      <w:r w:rsidR="003E18D9">
        <w:rPr>
          <w:rFonts w:ascii="Bookman Old Style" w:hAnsi="Bookman Old Style" w:cs="Verdana"/>
          <w:sz w:val="22"/>
          <w:szCs w:val="22"/>
        </w:rPr>
        <w:t xml:space="preserve">l </w:t>
      </w:r>
      <w:r w:rsidRPr="007F752F">
        <w:rPr>
          <w:rFonts w:ascii="Bookman Old Style" w:hAnsi="Bookman Old Style" w:cs="Verdana"/>
          <w:sz w:val="22"/>
          <w:szCs w:val="22"/>
        </w:rPr>
        <w:t xml:space="preserve">comma 2 dell’art. 113 del </w:t>
      </w:r>
      <w:r w:rsidR="009D25CA" w:rsidRPr="007F752F">
        <w:rPr>
          <w:rFonts w:ascii="Bookman Old Style" w:hAnsi="Bookman Old Style" w:cs="Verdana"/>
          <w:sz w:val="22"/>
          <w:szCs w:val="22"/>
        </w:rPr>
        <w:t>d.lgs.</w:t>
      </w:r>
      <w:r w:rsidRPr="007F752F">
        <w:rPr>
          <w:rFonts w:ascii="Bookman Old Style" w:hAnsi="Bookman Old Style" w:cs="Verdana"/>
          <w:sz w:val="22"/>
          <w:szCs w:val="22"/>
        </w:rPr>
        <w:t xml:space="preserve"> n. 5</w:t>
      </w:r>
      <w:r w:rsidR="003E18D9">
        <w:rPr>
          <w:rFonts w:ascii="Bookman Old Style" w:hAnsi="Bookman Old Style" w:cs="Verdana"/>
          <w:sz w:val="22"/>
          <w:szCs w:val="22"/>
        </w:rPr>
        <w:t>0</w:t>
      </w:r>
      <w:r w:rsidRPr="007F752F">
        <w:rPr>
          <w:rFonts w:ascii="Bookman Old Style" w:hAnsi="Bookman Old Style" w:cs="Verdana"/>
          <w:sz w:val="22"/>
          <w:szCs w:val="22"/>
        </w:rPr>
        <w:t xml:space="preserve"> del 2016, ai fini del rispetto dei limiti di spesa del personale, </w:t>
      </w:r>
    </w:p>
    <w:p w14:paraId="5BDADCDB" w14:textId="0F0B4354" w:rsidR="002A628E" w:rsidRPr="007F752F" w:rsidRDefault="002A628E" w:rsidP="002A628E">
      <w:pPr>
        <w:pStyle w:val="Corpotesto"/>
        <w:spacing w:line="480" w:lineRule="auto"/>
        <w:rPr>
          <w:rFonts w:ascii="Bookman Old Style" w:hAnsi="Bookman Old Style" w:cs="Verdana"/>
          <w:i/>
          <w:sz w:val="22"/>
          <w:szCs w:val="22"/>
        </w:rPr>
      </w:pPr>
      <w:r w:rsidRPr="007F752F">
        <w:rPr>
          <w:rFonts w:ascii="Bookman Old Style" w:hAnsi="Bookman Old Style" w:cs="Verdana"/>
          <w:sz w:val="22"/>
          <w:szCs w:val="22"/>
        </w:rPr>
        <w:t xml:space="preserve">sospende la decisione sul parere richiesto dal Comune di Ceriale (SV) </w:t>
      </w:r>
      <w:r w:rsidR="00937D76">
        <w:rPr>
          <w:rFonts w:ascii="Bookman Old Style" w:hAnsi="Bookman Old Style" w:cs="Verdana"/>
          <w:sz w:val="22"/>
          <w:szCs w:val="22"/>
        </w:rPr>
        <w:t xml:space="preserve">per </w:t>
      </w:r>
      <w:r w:rsidRPr="007F752F">
        <w:rPr>
          <w:rFonts w:ascii="Bookman Old Style" w:hAnsi="Bookman Old Style" w:cs="Verdana"/>
          <w:sz w:val="22"/>
          <w:szCs w:val="22"/>
        </w:rPr>
        <w:t xml:space="preserve"> </w:t>
      </w:r>
      <w:r w:rsidR="007F752F" w:rsidRPr="007F752F">
        <w:rPr>
          <w:rFonts w:ascii="Bookman Old Style" w:hAnsi="Bookman Old Style" w:cs="Verdana"/>
          <w:sz w:val="22"/>
          <w:szCs w:val="22"/>
        </w:rPr>
        <w:t>sottoporre al Presidente della Corte dei conti, ai sensi dell’art. 17, comma 31, del decreto-legge n. 78 del 2009, convertito dalla legge n. 102 del 2009, e dell’art. 6, comma 4, del decreto-legge n. 174 del 2012, convertito dalla legge n. 213 del 2012, sotto l’illustrata differente prospettazione interpretativa, la seguente questione di massima</w:t>
      </w:r>
      <w:r w:rsidRPr="007F752F">
        <w:rPr>
          <w:rFonts w:ascii="Bookman Old Style" w:hAnsi="Bookman Old Style" w:cs="Verdana"/>
          <w:sz w:val="22"/>
          <w:szCs w:val="22"/>
        </w:rPr>
        <w:t xml:space="preserve">: </w:t>
      </w:r>
      <w:r w:rsidRPr="007F752F">
        <w:rPr>
          <w:rFonts w:ascii="Bookman Old Style" w:hAnsi="Bookman Old Style" w:cs="Verdana"/>
          <w:i/>
          <w:sz w:val="22"/>
          <w:szCs w:val="22"/>
        </w:rPr>
        <w:t xml:space="preserve">“se gli incentivi tecnici di cui </w:t>
      </w:r>
      <w:r w:rsidR="003E18D9">
        <w:rPr>
          <w:rFonts w:ascii="Bookman Old Style" w:hAnsi="Bookman Old Style" w:cs="Verdana"/>
          <w:i/>
          <w:sz w:val="22"/>
          <w:szCs w:val="22"/>
        </w:rPr>
        <w:t>al</w:t>
      </w:r>
      <w:r w:rsidRPr="007F752F">
        <w:rPr>
          <w:rFonts w:ascii="Bookman Old Style" w:hAnsi="Bookman Old Style" w:cs="Verdana"/>
          <w:i/>
          <w:sz w:val="22"/>
          <w:szCs w:val="22"/>
        </w:rPr>
        <w:t xml:space="preserve"> comma 2</w:t>
      </w:r>
      <w:r w:rsidR="003E18D9">
        <w:rPr>
          <w:rFonts w:ascii="Bookman Old Style" w:hAnsi="Bookman Old Style" w:cs="Verdana"/>
          <w:i/>
          <w:sz w:val="22"/>
          <w:szCs w:val="22"/>
        </w:rPr>
        <w:t xml:space="preserve"> </w:t>
      </w:r>
      <w:r w:rsidRPr="007F752F">
        <w:rPr>
          <w:rFonts w:ascii="Bookman Old Style" w:hAnsi="Bookman Old Style" w:cs="Verdana"/>
          <w:i/>
          <w:sz w:val="22"/>
          <w:szCs w:val="22"/>
        </w:rPr>
        <w:t xml:space="preserve">dell’art. 113 del </w:t>
      </w:r>
      <w:r w:rsidR="009D25CA" w:rsidRPr="007F752F">
        <w:rPr>
          <w:rFonts w:ascii="Bookman Old Style" w:hAnsi="Bookman Old Style" w:cs="Verdana"/>
          <w:i/>
          <w:sz w:val="22"/>
          <w:szCs w:val="22"/>
        </w:rPr>
        <w:t>d.lgs.</w:t>
      </w:r>
      <w:r w:rsidRPr="007F752F">
        <w:rPr>
          <w:rFonts w:ascii="Bookman Old Style" w:hAnsi="Bookman Old Style" w:cs="Verdana"/>
          <w:i/>
          <w:sz w:val="22"/>
          <w:szCs w:val="22"/>
        </w:rPr>
        <w:t xml:space="preserve"> n. 5</w:t>
      </w:r>
      <w:r w:rsidR="003E18D9">
        <w:rPr>
          <w:rFonts w:ascii="Bookman Old Style" w:hAnsi="Bookman Old Style" w:cs="Verdana"/>
          <w:i/>
          <w:sz w:val="22"/>
          <w:szCs w:val="22"/>
        </w:rPr>
        <w:t>0</w:t>
      </w:r>
      <w:r w:rsidRPr="007F752F">
        <w:rPr>
          <w:rFonts w:ascii="Bookman Old Style" w:hAnsi="Bookman Old Style" w:cs="Verdana"/>
          <w:i/>
          <w:sz w:val="22"/>
          <w:szCs w:val="22"/>
        </w:rPr>
        <w:t xml:space="preserve"> del 2016,  debbano essere ricompresi nel computo della spesa rilevante ai fini del rispetto del tetto di spesa previsto dall’art. 1, comma 557</w:t>
      </w:r>
      <w:r w:rsidR="00937D76">
        <w:rPr>
          <w:rFonts w:ascii="Bookman Old Style" w:hAnsi="Bookman Old Style" w:cs="Verdana"/>
          <w:i/>
          <w:sz w:val="22"/>
          <w:szCs w:val="22"/>
        </w:rPr>
        <w:t>,</w:t>
      </w:r>
      <w:r w:rsidRPr="007F752F">
        <w:rPr>
          <w:rFonts w:ascii="Bookman Old Style" w:hAnsi="Bookman Old Style" w:cs="Verdana"/>
          <w:i/>
          <w:sz w:val="22"/>
          <w:szCs w:val="22"/>
        </w:rPr>
        <w:t xml:space="preserve"> della legge n. 296 del 2006, nonché ai fini del rispetto del tetto di spesa previsto dall’art. 1, comma 236, della legge n. 208 del 2015.</w:t>
      </w:r>
    </w:p>
    <w:p w14:paraId="765793CC" w14:textId="77777777" w:rsidR="002A628E" w:rsidRPr="007F752F" w:rsidRDefault="002A628E" w:rsidP="002A628E">
      <w:pPr>
        <w:pStyle w:val="Corpotesto"/>
        <w:spacing w:line="480" w:lineRule="auto"/>
        <w:rPr>
          <w:rFonts w:ascii="Bookman Old Style" w:hAnsi="Bookman Old Style" w:cs="Verdana"/>
          <w:sz w:val="22"/>
          <w:szCs w:val="22"/>
        </w:rPr>
      </w:pPr>
      <w:r w:rsidRPr="007F752F">
        <w:rPr>
          <w:rFonts w:ascii="Bookman Old Style" w:hAnsi="Bookman Old Style" w:cs="Verdana"/>
          <w:sz w:val="22"/>
          <w:szCs w:val="22"/>
        </w:rPr>
        <w:t>Copia della presente deliberazione sarà trasmessa, a cura del preposto alla segreteria, al Sindaco del Comune di Ceriale.</w:t>
      </w:r>
    </w:p>
    <w:p w14:paraId="18CDFBF0" w14:textId="77777777" w:rsidR="003B6AD0" w:rsidRPr="007F752F" w:rsidRDefault="00641EBB" w:rsidP="00733EB1">
      <w:pPr>
        <w:pStyle w:val="Corpotesto"/>
        <w:spacing w:line="480" w:lineRule="auto"/>
        <w:rPr>
          <w:rFonts w:ascii="Bookman Old Style" w:hAnsi="Bookman Old Style" w:cs="Verdana"/>
          <w:sz w:val="22"/>
          <w:szCs w:val="22"/>
        </w:rPr>
      </w:pPr>
      <w:r w:rsidRPr="007F752F">
        <w:rPr>
          <w:rFonts w:ascii="Bookman Old Style" w:hAnsi="Bookman Old Style" w:cs="Verdana"/>
          <w:sz w:val="22"/>
          <w:szCs w:val="22"/>
        </w:rPr>
        <w:t xml:space="preserve">                  </w:t>
      </w:r>
    </w:p>
    <w:p w14:paraId="3146DF5C" w14:textId="77777777" w:rsidR="007F752F" w:rsidRDefault="007F752F" w:rsidP="00733EB1">
      <w:pPr>
        <w:pStyle w:val="Corpotesto"/>
        <w:spacing w:line="480" w:lineRule="auto"/>
        <w:rPr>
          <w:rFonts w:ascii="Bookman Old Style" w:hAnsi="Bookman Old Style" w:cs="Verdana"/>
          <w:sz w:val="22"/>
          <w:szCs w:val="22"/>
        </w:rPr>
      </w:pPr>
    </w:p>
    <w:p w14:paraId="06F3969B" w14:textId="77777777" w:rsidR="007F752F" w:rsidRPr="007F752F" w:rsidRDefault="007F752F" w:rsidP="00733EB1">
      <w:pPr>
        <w:pStyle w:val="Corpotesto"/>
        <w:spacing w:line="480" w:lineRule="auto"/>
        <w:rPr>
          <w:rFonts w:ascii="Bookman Old Style" w:hAnsi="Bookman Old Style" w:cs="Verdana"/>
          <w:sz w:val="22"/>
          <w:szCs w:val="22"/>
        </w:rPr>
      </w:pPr>
    </w:p>
    <w:p w14:paraId="49E5650A" w14:textId="77777777" w:rsidR="00937267" w:rsidRDefault="00174A9E" w:rsidP="00E0104F">
      <w:pPr>
        <w:pStyle w:val="Corpotesto"/>
        <w:spacing w:line="480" w:lineRule="auto"/>
        <w:rPr>
          <w:rFonts w:ascii="Bookman Old Style" w:hAnsi="Bookman Old Style" w:cs="Verdana"/>
          <w:sz w:val="22"/>
          <w:szCs w:val="22"/>
        </w:rPr>
      </w:pPr>
      <w:r w:rsidRPr="00E160D1">
        <w:rPr>
          <w:rFonts w:ascii="Bookman Old Style" w:hAnsi="Bookman Old Style" w:cs="Verdana"/>
          <w:sz w:val="22"/>
          <w:szCs w:val="22"/>
        </w:rPr>
        <w:t>Così deciso in G</w:t>
      </w:r>
      <w:r w:rsidR="00DB6417" w:rsidRPr="00E160D1">
        <w:rPr>
          <w:rFonts w:ascii="Bookman Old Style" w:hAnsi="Bookman Old Style" w:cs="Verdana"/>
          <w:sz w:val="22"/>
          <w:szCs w:val="22"/>
        </w:rPr>
        <w:t xml:space="preserve">enova, </w:t>
      </w:r>
      <w:r w:rsidRPr="00E160D1">
        <w:rPr>
          <w:rFonts w:ascii="Bookman Old Style" w:hAnsi="Bookman Old Style" w:cs="Verdana"/>
          <w:sz w:val="22"/>
          <w:szCs w:val="22"/>
        </w:rPr>
        <w:t>nella camera di consiglio del</w:t>
      </w:r>
      <w:r w:rsidR="001B6B42">
        <w:rPr>
          <w:rFonts w:ascii="Bookman Old Style" w:hAnsi="Bookman Old Style" w:cs="Verdana"/>
          <w:sz w:val="22"/>
          <w:szCs w:val="22"/>
        </w:rPr>
        <w:t xml:space="preserve"> </w:t>
      </w:r>
      <w:r w:rsidR="002A628E">
        <w:rPr>
          <w:rFonts w:ascii="Bookman Old Style" w:hAnsi="Bookman Old Style" w:cs="Verdana"/>
          <w:sz w:val="22"/>
          <w:szCs w:val="22"/>
        </w:rPr>
        <w:t>25</w:t>
      </w:r>
      <w:r w:rsidR="001B6B42">
        <w:rPr>
          <w:rFonts w:ascii="Bookman Old Style" w:hAnsi="Bookman Old Style" w:cs="Verdana"/>
          <w:sz w:val="22"/>
          <w:szCs w:val="22"/>
        </w:rPr>
        <w:t xml:space="preserve"> </w:t>
      </w:r>
      <w:r w:rsidR="002A628E">
        <w:rPr>
          <w:rFonts w:ascii="Bookman Old Style" w:hAnsi="Bookman Old Style" w:cs="Verdana"/>
          <w:sz w:val="22"/>
          <w:szCs w:val="22"/>
        </w:rPr>
        <w:t>maggio</w:t>
      </w:r>
      <w:r w:rsidR="00C10F42">
        <w:rPr>
          <w:rFonts w:ascii="Bookman Old Style" w:hAnsi="Bookman Old Style" w:cs="Verdana"/>
          <w:sz w:val="22"/>
          <w:szCs w:val="22"/>
        </w:rPr>
        <w:t xml:space="preserve"> 2017</w:t>
      </w:r>
      <w:r w:rsidRPr="00E160D1">
        <w:rPr>
          <w:rFonts w:ascii="Bookman Old Style" w:hAnsi="Bookman Old Style" w:cs="Verdana"/>
          <w:sz w:val="22"/>
          <w:szCs w:val="22"/>
        </w:rPr>
        <w:t>.</w:t>
      </w:r>
    </w:p>
    <w:p w14:paraId="00621B56" w14:textId="77777777" w:rsidR="001B6B42" w:rsidRDefault="001B6B42" w:rsidP="00E0104F">
      <w:pPr>
        <w:pStyle w:val="Corpotesto"/>
        <w:spacing w:line="480" w:lineRule="auto"/>
        <w:rPr>
          <w:rFonts w:ascii="Bookman Old Style" w:hAnsi="Bookman Old Style" w:cs="Verdana"/>
          <w:sz w:val="22"/>
          <w:szCs w:val="22"/>
        </w:rPr>
      </w:pPr>
    </w:p>
    <w:p w14:paraId="4EBF5888" w14:textId="77777777" w:rsidR="00ED53B2" w:rsidRPr="00E160D1" w:rsidRDefault="00ED53B2" w:rsidP="00E0104F">
      <w:pPr>
        <w:pStyle w:val="Corpotesto"/>
        <w:spacing w:line="480" w:lineRule="auto"/>
        <w:ind w:firstLine="708"/>
        <w:rPr>
          <w:rFonts w:ascii="Bookman Old Style" w:hAnsi="Bookman Old Style" w:cs="Verdana"/>
          <w:sz w:val="22"/>
          <w:szCs w:val="22"/>
        </w:rPr>
      </w:pPr>
      <w:r w:rsidRPr="00E160D1">
        <w:rPr>
          <w:rFonts w:ascii="Bookman Old Style" w:hAnsi="Bookman Old Style" w:cs="Verdana"/>
          <w:sz w:val="22"/>
          <w:szCs w:val="22"/>
        </w:rPr>
        <w:t xml:space="preserve">Il Magistrato estensore                                      Il Presidente </w:t>
      </w:r>
    </w:p>
    <w:p w14:paraId="0F6C1CBA" w14:textId="77777777" w:rsidR="00F14E98" w:rsidRDefault="00BB2445" w:rsidP="00B31C80">
      <w:pPr>
        <w:pStyle w:val="Corpotesto"/>
        <w:spacing w:line="480" w:lineRule="auto"/>
        <w:rPr>
          <w:rFonts w:ascii="Bookman Old Style" w:hAnsi="Bookman Old Style" w:cs="Verdana"/>
          <w:sz w:val="22"/>
          <w:szCs w:val="22"/>
        </w:rPr>
      </w:pPr>
      <w:r>
        <w:rPr>
          <w:rFonts w:ascii="Bookman Old Style" w:hAnsi="Bookman Old Style" w:cs="Verdana"/>
          <w:sz w:val="22"/>
          <w:szCs w:val="22"/>
        </w:rPr>
        <w:t xml:space="preserve">            </w:t>
      </w:r>
      <w:r w:rsidR="00ED53B2" w:rsidRPr="00E160D1">
        <w:rPr>
          <w:rFonts w:ascii="Bookman Old Style" w:hAnsi="Bookman Old Style" w:cs="Verdana"/>
          <w:sz w:val="22"/>
          <w:szCs w:val="22"/>
        </w:rPr>
        <w:t xml:space="preserve">Francesco Belsanti       </w:t>
      </w:r>
      <w:r w:rsidR="00ED0C7D">
        <w:rPr>
          <w:rFonts w:ascii="Bookman Old Style" w:hAnsi="Bookman Old Style" w:cs="Verdana"/>
          <w:sz w:val="22"/>
          <w:szCs w:val="22"/>
        </w:rPr>
        <w:t xml:space="preserve">                           </w:t>
      </w:r>
      <w:r w:rsidR="003314B3">
        <w:rPr>
          <w:rFonts w:ascii="Bookman Old Style" w:hAnsi="Bookman Old Style" w:cs="Verdana"/>
          <w:sz w:val="22"/>
          <w:szCs w:val="22"/>
        </w:rPr>
        <w:t xml:space="preserve">       </w:t>
      </w:r>
      <w:r w:rsidR="00ED0C7D">
        <w:rPr>
          <w:rFonts w:ascii="Bookman Old Style" w:hAnsi="Bookman Old Style" w:cs="Verdana"/>
          <w:sz w:val="22"/>
          <w:szCs w:val="22"/>
        </w:rPr>
        <w:t xml:space="preserve">  </w:t>
      </w:r>
      <w:r w:rsidR="002A628E">
        <w:rPr>
          <w:rFonts w:ascii="Bookman Old Style" w:hAnsi="Bookman Old Style" w:cs="Verdana"/>
          <w:sz w:val="22"/>
          <w:szCs w:val="22"/>
        </w:rPr>
        <w:t>Fabio Viola</w:t>
      </w:r>
      <w:r w:rsidR="00ED53B2" w:rsidRPr="00E160D1">
        <w:rPr>
          <w:rFonts w:ascii="Bookman Old Style" w:hAnsi="Bookman Old Style" w:cs="Verdana"/>
          <w:sz w:val="22"/>
          <w:szCs w:val="22"/>
        </w:rPr>
        <w:t xml:space="preserve">    </w:t>
      </w:r>
    </w:p>
    <w:p w14:paraId="0C7FE8AE" w14:textId="77777777" w:rsidR="00F14E98" w:rsidRDefault="00F14E98" w:rsidP="00B31C80">
      <w:pPr>
        <w:pStyle w:val="Corpotesto"/>
        <w:spacing w:line="480" w:lineRule="auto"/>
        <w:rPr>
          <w:rFonts w:ascii="Bookman Old Style" w:hAnsi="Bookman Old Style" w:cs="Verdana"/>
          <w:sz w:val="22"/>
          <w:szCs w:val="22"/>
        </w:rPr>
      </w:pPr>
    </w:p>
    <w:p w14:paraId="0A920E5C" w14:textId="77777777" w:rsidR="00CE5214" w:rsidRDefault="00CE5214" w:rsidP="00B31C80">
      <w:pPr>
        <w:pStyle w:val="Corpotesto"/>
        <w:spacing w:line="480" w:lineRule="auto"/>
        <w:rPr>
          <w:rFonts w:ascii="Bookman Old Style" w:hAnsi="Bookman Old Style" w:cs="Verdana"/>
          <w:sz w:val="22"/>
          <w:szCs w:val="22"/>
        </w:rPr>
      </w:pPr>
      <w:r>
        <w:rPr>
          <w:rFonts w:ascii="Bookman Old Style" w:hAnsi="Bookman Old Style" w:cs="Verdana"/>
          <w:sz w:val="22"/>
          <w:szCs w:val="22"/>
        </w:rPr>
        <w:t>Depositato in segreteria il 29.6.2017</w:t>
      </w:r>
    </w:p>
    <w:p w14:paraId="3B87A9A9" w14:textId="43CF584E" w:rsidR="00CE5214" w:rsidRDefault="00CE5214" w:rsidP="00B31C80">
      <w:pPr>
        <w:pStyle w:val="Corpotesto"/>
        <w:spacing w:line="480" w:lineRule="auto"/>
        <w:rPr>
          <w:rFonts w:ascii="Bookman Old Style" w:hAnsi="Bookman Old Style" w:cs="Verdana"/>
          <w:sz w:val="22"/>
          <w:szCs w:val="22"/>
        </w:rPr>
      </w:pPr>
      <w:r>
        <w:rPr>
          <w:rFonts w:ascii="Bookman Old Style" w:hAnsi="Bookman Old Style" w:cs="Verdana"/>
          <w:sz w:val="22"/>
          <w:szCs w:val="22"/>
        </w:rPr>
        <w:t xml:space="preserve">        Il funzionario preposto</w:t>
      </w:r>
    </w:p>
    <w:p w14:paraId="1DB42C48" w14:textId="36720E53" w:rsidR="00424497" w:rsidRPr="00E160D1" w:rsidRDefault="00CE5214" w:rsidP="00B31C80">
      <w:pPr>
        <w:pStyle w:val="Corpotesto"/>
        <w:spacing w:line="480" w:lineRule="auto"/>
        <w:rPr>
          <w:rFonts w:ascii="Bookman Old Style" w:hAnsi="Bookman Old Style" w:cs="Verdana"/>
          <w:sz w:val="18"/>
          <w:szCs w:val="18"/>
        </w:rPr>
      </w:pPr>
      <w:r>
        <w:rPr>
          <w:rFonts w:ascii="Bookman Old Style" w:hAnsi="Bookman Old Style" w:cs="Verdana"/>
          <w:sz w:val="22"/>
          <w:szCs w:val="22"/>
        </w:rPr>
        <w:t xml:space="preserve">            Antonella Sfettina</w:t>
      </w:r>
      <w:r w:rsidR="00ED53B2" w:rsidRPr="00E160D1">
        <w:rPr>
          <w:rFonts w:ascii="Bookman Old Style" w:hAnsi="Bookman Old Style" w:cs="Verdana"/>
          <w:sz w:val="22"/>
          <w:szCs w:val="22"/>
        </w:rPr>
        <w:t xml:space="preserve"> </w:t>
      </w:r>
    </w:p>
    <w:sectPr w:rsidR="00424497" w:rsidRPr="00E160D1" w:rsidSect="0059258B">
      <w:footerReference w:type="even" r:id="rId9"/>
      <w:footerReference w:type="defaul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6E482" w14:textId="77777777" w:rsidR="00AB4BAA" w:rsidRDefault="00AB4BAA">
      <w:r>
        <w:separator/>
      </w:r>
    </w:p>
  </w:endnote>
  <w:endnote w:type="continuationSeparator" w:id="0">
    <w:p w14:paraId="1F24505B" w14:textId="77777777" w:rsidR="00AB4BAA" w:rsidRDefault="00AB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CD4F" w14:textId="77777777" w:rsidR="00C75BB8" w:rsidRDefault="00C75BB8" w:rsidP="00B57E3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815598" w14:textId="77777777" w:rsidR="00C75BB8" w:rsidRDefault="00C75BB8" w:rsidP="009171F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23E1" w14:textId="6B3D5129" w:rsidR="00C75BB8" w:rsidRDefault="00C75BB8" w:rsidP="00B57E3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1549B">
      <w:rPr>
        <w:rStyle w:val="Numeropagina"/>
        <w:noProof/>
      </w:rPr>
      <w:t>1</w:t>
    </w:r>
    <w:r>
      <w:rPr>
        <w:rStyle w:val="Numeropagina"/>
      </w:rPr>
      <w:fldChar w:fldCharType="end"/>
    </w:r>
  </w:p>
  <w:p w14:paraId="4A765C48" w14:textId="77777777" w:rsidR="00C75BB8" w:rsidRDefault="00C75BB8" w:rsidP="009171F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218EE" w14:textId="77777777" w:rsidR="00AB4BAA" w:rsidRDefault="00AB4BAA">
      <w:r>
        <w:separator/>
      </w:r>
    </w:p>
  </w:footnote>
  <w:footnote w:type="continuationSeparator" w:id="0">
    <w:p w14:paraId="71F78D56" w14:textId="77777777" w:rsidR="00AB4BAA" w:rsidRDefault="00AB4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EFE"/>
    <w:multiLevelType w:val="hybridMultilevel"/>
    <w:tmpl w:val="8E0010AE"/>
    <w:lvl w:ilvl="0" w:tplc="18C4933A">
      <w:numFmt w:val="bullet"/>
      <w:lvlText w:val="-"/>
      <w:lvlJc w:val="left"/>
      <w:pPr>
        <w:ind w:left="720" w:hanging="360"/>
      </w:pPr>
      <w:rPr>
        <w:rFonts w:ascii="Bookman Old Style" w:eastAsia="Times New Roman" w:hAnsi="Bookman Old Style"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8D055B"/>
    <w:multiLevelType w:val="singleLevel"/>
    <w:tmpl w:val="196A46D9"/>
    <w:lvl w:ilvl="0">
      <w:start w:val="1"/>
      <w:numFmt w:val="lowerLetter"/>
      <w:lvlText w:val="%1)"/>
      <w:lvlJc w:val="left"/>
      <w:pPr>
        <w:tabs>
          <w:tab w:val="num" w:pos="288"/>
        </w:tabs>
        <w:ind w:left="72" w:firstLine="432"/>
      </w:pPr>
      <w:rPr>
        <w:rFonts w:ascii="Arial" w:hAnsi="Arial" w:cs="Arial"/>
        <w:b/>
        <w:bCs/>
        <w:i/>
        <w:iCs/>
        <w:snapToGrid/>
        <w:spacing w:val="-4"/>
        <w:w w:val="95"/>
        <w:sz w:val="22"/>
        <w:szCs w:val="22"/>
      </w:rPr>
    </w:lvl>
  </w:abstractNum>
  <w:abstractNum w:abstractNumId="2" w15:restartNumberingAfterBreak="0">
    <w:nsid w:val="03A801AC"/>
    <w:multiLevelType w:val="singleLevel"/>
    <w:tmpl w:val="7C3ECC98"/>
    <w:lvl w:ilvl="0">
      <w:start w:val="2"/>
      <w:numFmt w:val="decimal"/>
      <w:lvlText w:val="%1)"/>
      <w:lvlJc w:val="left"/>
      <w:pPr>
        <w:tabs>
          <w:tab w:val="num" w:pos="288"/>
        </w:tabs>
        <w:ind w:left="72" w:firstLine="648"/>
      </w:pPr>
      <w:rPr>
        <w:rFonts w:ascii="Arial" w:hAnsi="Arial" w:cs="Arial"/>
        <w:b/>
        <w:bCs/>
        <w:i/>
        <w:iCs/>
        <w:snapToGrid/>
        <w:spacing w:val="-5"/>
        <w:sz w:val="22"/>
        <w:szCs w:val="22"/>
      </w:rPr>
    </w:lvl>
  </w:abstractNum>
  <w:abstractNum w:abstractNumId="3" w15:restartNumberingAfterBreak="0">
    <w:nsid w:val="05DBD485"/>
    <w:multiLevelType w:val="singleLevel"/>
    <w:tmpl w:val="524CF3F8"/>
    <w:lvl w:ilvl="0">
      <w:start w:val="1"/>
      <w:numFmt w:val="lowerLetter"/>
      <w:lvlText w:val="%1)"/>
      <w:lvlJc w:val="left"/>
      <w:pPr>
        <w:tabs>
          <w:tab w:val="num" w:pos="432"/>
        </w:tabs>
        <w:ind w:left="1152" w:hanging="432"/>
      </w:pPr>
      <w:rPr>
        <w:snapToGrid/>
        <w:spacing w:val="2"/>
        <w:sz w:val="25"/>
        <w:szCs w:val="25"/>
      </w:rPr>
    </w:lvl>
  </w:abstractNum>
  <w:abstractNum w:abstractNumId="4" w15:restartNumberingAfterBreak="0">
    <w:nsid w:val="06DCCB80"/>
    <w:multiLevelType w:val="singleLevel"/>
    <w:tmpl w:val="7C29A268"/>
    <w:lvl w:ilvl="0">
      <w:start w:val="2"/>
      <w:numFmt w:val="lowerLetter"/>
      <w:lvlText w:val="%1)"/>
      <w:lvlJc w:val="left"/>
      <w:pPr>
        <w:tabs>
          <w:tab w:val="num" w:pos="720"/>
        </w:tabs>
        <w:ind w:left="792" w:firstLine="72"/>
      </w:pPr>
      <w:rPr>
        <w:rFonts w:ascii="Verdana" w:hAnsi="Verdana" w:cs="Verdana"/>
        <w:snapToGrid/>
        <w:spacing w:val="-5"/>
        <w:sz w:val="19"/>
        <w:szCs w:val="19"/>
      </w:rPr>
    </w:lvl>
  </w:abstractNum>
  <w:abstractNum w:abstractNumId="5" w15:restartNumberingAfterBreak="0">
    <w:nsid w:val="14CD3293"/>
    <w:multiLevelType w:val="multilevel"/>
    <w:tmpl w:val="F4E236E0"/>
    <w:lvl w:ilvl="0">
      <w:start w:val="1"/>
      <w:numFmt w:val="decimal"/>
      <w:lvlText w:val="%1."/>
      <w:lvlJc w:val="left"/>
      <w:pPr>
        <w:tabs>
          <w:tab w:val="left" w:pos="288"/>
        </w:tabs>
        <w:ind w:left="720"/>
      </w:pPr>
      <w:rPr>
        <w:rFonts w:ascii="Arial" w:eastAsia="Arial" w:hAnsi="Arial"/>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20407B"/>
    <w:multiLevelType w:val="hybridMultilevel"/>
    <w:tmpl w:val="1CF8A52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24DD7CC9"/>
    <w:multiLevelType w:val="hybridMultilevel"/>
    <w:tmpl w:val="1264DD3C"/>
    <w:lvl w:ilvl="0" w:tplc="5092856E">
      <w:start w:val="1"/>
      <w:numFmt w:val="lowerLetter"/>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E942A2"/>
    <w:multiLevelType w:val="hybridMultilevel"/>
    <w:tmpl w:val="23CCAFBC"/>
    <w:lvl w:ilvl="0" w:tplc="F84053E0">
      <w:start w:val="1"/>
      <w:numFmt w:val="lowerLetter"/>
      <w:lvlText w:val="%1)"/>
      <w:lvlJc w:val="left"/>
      <w:pPr>
        <w:ind w:left="1182" w:hanging="750"/>
      </w:pPr>
      <w:rPr>
        <w:rFonts w:hint="default"/>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9" w15:restartNumberingAfterBreak="0">
    <w:nsid w:val="3F625AB0"/>
    <w:multiLevelType w:val="hybridMultilevel"/>
    <w:tmpl w:val="85E627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F247A5"/>
    <w:multiLevelType w:val="multilevel"/>
    <w:tmpl w:val="803E3C3C"/>
    <w:lvl w:ilvl="0">
      <w:start w:val="1"/>
      <w:numFmt w:val="bullet"/>
      <w:lvlText w:val="·"/>
      <w:lvlJc w:val="left"/>
      <w:pPr>
        <w:tabs>
          <w:tab w:val="left" w:pos="144"/>
        </w:tabs>
        <w:ind w:left="720"/>
      </w:pPr>
      <w:rPr>
        <w:rFonts w:ascii="Symbol" w:eastAsia="Symbol" w:hAnsi="Symbol"/>
        <w:strike w:val="0"/>
        <w:color w:val="000000"/>
        <w:spacing w:val="-4"/>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142459"/>
    <w:multiLevelType w:val="hybridMultilevel"/>
    <w:tmpl w:val="08BEC95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3211D88"/>
    <w:multiLevelType w:val="multilevel"/>
    <w:tmpl w:val="55A27FF0"/>
    <w:lvl w:ilvl="0">
      <w:start w:val="1"/>
      <w:numFmt w:val="lowerLetter"/>
      <w:lvlText w:val="%1)"/>
      <w:lvlJc w:val="left"/>
      <w:pPr>
        <w:tabs>
          <w:tab w:val="num" w:pos="1773"/>
        </w:tabs>
        <w:ind w:left="1773" w:hanging="1065"/>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15:restartNumberingAfterBreak="0">
    <w:nsid w:val="46A31EC3"/>
    <w:multiLevelType w:val="hybridMultilevel"/>
    <w:tmpl w:val="70E6A288"/>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4" w15:restartNumberingAfterBreak="0">
    <w:nsid w:val="4829162A"/>
    <w:multiLevelType w:val="multilevel"/>
    <w:tmpl w:val="70E6A288"/>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15:restartNumberingAfterBreak="0">
    <w:nsid w:val="4C5D57C1"/>
    <w:multiLevelType w:val="hybridMultilevel"/>
    <w:tmpl w:val="BB089668"/>
    <w:lvl w:ilvl="0" w:tplc="321CE31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611A28"/>
    <w:multiLevelType w:val="hybridMultilevel"/>
    <w:tmpl w:val="14321B36"/>
    <w:lvl w:ilvl="0" w:tplc="2E165CD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15:restartNumberingAfterBreak="0">
    <w:nsid w:val="4E9E579B"/>
    <w:multiLevelType w:val="multilevel"/>
    <w:tmpl w:val="3EE4200C"/>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2C46A37"/>
    <w:multiLevelType w:val="multilevel"/>
    <w:tmpl w:val="33C8DA3E"/>
    <w:lvl w:ilvl="0">
      <w:start w:val="1"/>
      <w:numFmt w:val="lowerLetter"/>
      <w:lvlText w:val="%1)"/>
      <w:lvlJc w:val="left"/>
      <w:pPr>
        <w:tabs>
          <w:tab w:val="num" w:pos="735"/>
        </w:tabs>
        <w:ind w:left="735" w:hanging="73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3843AF5"/>
    <w:multiLevelType w:val="hybridMultilevel"/>
    <w:tmpl w:val="3EE66048"/>
    <w:lvl w:ilvl="0" w:tplc="2350FC14">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0" w15:restartNumberingAfterBreak="0">
    <w:nsid w:val="5B687D84"/>
    <w:multiLevelType w:val="hybridMultilevel"/>
    <w:tmpl w:val="B9E624A6"/>
    <w:lvl w:ilvl="0" w:tplc="24ECF8C8">
      <w:numFmt w:val="bullet"/>
      <w:lvlText w:val="-"/>
      <w:lvlJc w:val="left"/>
      <w:pPr>
        <w:tabs>
          <w:tab w:val="num" w:pos="720"/>
        </w:tabs>
        <w:ind w:left="720" w:hanging="360"/>
      </w:pPr>
      <w:rPr>
        <w:rFonts w:ascii="Bookman Old Style" w:eastAsia="Times New Roman" w:hAnsi="Bookman Old Style" w:cs="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E6754"/>
    <w:multiLevelType w:val="multilevel"/>
    <w:tmpl w:val="3EE4200C"/>
    <w:lvl w:ilvl="0">
      <w:start w:val="1"/>
      <w:numFmt w:val="lowerLetter"/>
      <w:lvlText w:val="%1)"/>
      <w:lvlJc w:val="left"/>
      <w:pPr>
        <w:tabs>
          <w:tab w:val="num" w:pos="992"/>
        </w:tabs>
        <w:ind w:left="992" w:hanging="284"/>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15:restartNumberingAfterBreak="0">
    <w:nsid w:val="66A171C8"/>
    <w:multiLevelType w:val="hybridMultilevel"/>
    <w:tmpl w:val="2702F1CA"/>
    <w:lvl w:ilvl="0" w:tplc="04100017">
      <w:start w:val="1"/>
      <w:numFmt w:val="lowerLetter"/>
      <w:lvlText w:val="%1)"/>
      <w:lvlJc w:val="left"/>
      <w:pPr>
        <w:ind w:left="78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E66FE2"/>
    <w:multiLevelType w:val="hybridMultilevel"/>
    <w:tmpl w:val="7E6EE9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EB20314"/>
    <w:multiLevelType w:val="hybridMultilevel"/>
    <w:tmpl w:val="3EE4200C"/>
    <w:lvl w:ilvl="0" w:tplc="5092856E">
      <w:start w:val="1"/>
      <w:numFmt w:val="lowerLetter"/>
      <w:lvlText w:val="%1)"/>
      <w:lvlJc w:val="left"/>
      <w:pPr>
        <w:tabs>
          <w:tab w:val="num" w:pos="284"/>
        </w:tabs>
        <w:ind w:left="284" w:hanging="284"/>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79A45B0A"/>
    <w:multiLevelType w:val="hybridMultilevel"/>
    <w:tmpl w:val="A7340FAC"/>
    <w:lvl w:ilvl="0" w:tplc="B89E2138">
      <w:start w:val="1"/>
      <w:numFmt w:val="lowerLetter"/>
      <w:lvlText w:val="%1.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1"/>
  </w:num>
  <w:num w:numId="2">
    <w:abstractNumId w:val="20"/>
  </w:num>
  <w:num w:numId="3">
    <w:abstractNumId w:val="24"/>
  </w:num>
  <w:num w:numId="4">
    <w:abstractNumId w:val="12"/>
  </w:num>
  <w:num w:numId="5">
    <w:abstractNumId w:val="21"/>
  </w:num>
  <w:num w:numId="6">
    <w:abstractNumId w:val="19"/>
  </w:num>
  <w:num w:numId="7">
    <w:abstractNumId w:val="17"/>
  </w:num>
  <w:num w:numId="8">
    <w:abstractNumId w:val="7"/>
  </w:num>
  <w:num w:numId="9">
    <w:abstractNumId w:val="13"/>
  </w:num>
  <w:num w:numId="10">
    <w:abstractNumId w:val="14"/>
  </w:num>
  <w:num w:numId="11">
    <w:abstractNumId w:val="6"/>
  </w:num>
  <w:num w:numId="12">
    <w:abstractNumId w:val="18"/>
  </w:num>
  <w:num w:numId="13">
    <w:abstractNumId w:val="22"/>
  </w:num>
  <w:num w:numId="14">
    <w:abstractNumId w:val="23"/>
  </w:num>
  <w:num w:numId="15">
    <w:abstractNumId w:val="9"/>
  </w:num>
  <w:num w:numId="16">
    <w:abstractNumId w:val="8"/>
  </w:num>
  <w:num w:numId="17">
    <w:abstractNumId w:val="4"/>
  </w:num>
  <w:num w:numId="18">
    <w:abstractNumId w:val="1"/>
  </w:num>
  <w:num w:numId="19">
    <w:abstractNumId w:val="2"/>
  </w:num>
  <w:num w:numId="20">
    <w:abstractNumId w:val="3"/>
  </w:num>
  <w:num w:numId="21">
    <w:abstractNumId w:val="16"/>
  </w:num>
  <w:num w:numId="22">
    <w:abstractNumId w:val="0"/>
  </w:num>
  <w:num w:numId="23">
    <w:abstractNumId w:val="15"/>
  </w:num>
  <w:num w:numId="24">
    <w:abstractNumId w:val="5"/>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77"/>
    <w:rsid w:val="000006E0"/>
    <w:rsid w:val="000007C4"/>
    <w:rsid w:val="00001C3F"/>
    <w:rsid w:val="0000635C"/>
    <w:rsid w:val="00012573"/>
    <w:rsid w:val="0001493F"/>
    <w:rsid w:val="00017176"/>
    <w:rsid w:val="00020CA8"/>
    <w:rsid w:val="000244D3"/>
    <w:rsid w:val="00024CBE"/>
    <w:rsid w:val="00025229"/>
    <w:rsid w:val="000258C8"/>
    <w:rsid w:val="0003071F"/>
    <w:rsid w:val="00030C37"/>
    <w:rsid w:val="00037DF2"/>
    <w:rsid w:val="00041100"/>
    <w:rsid w:val="00042B74"/>
    <w:rsid w:val="00042C8F"/>
    <w:rsid w:val="000446D0"/>
    <w:rsid w:val="00045C3B"/>
    <w:rsid w:val="00047500"/>
    <w:rsid w:val="00051BF8"/>
    <w:rsid w:val="00051ED6"/>
    <w:rsid w:val="0005443E"/>
    <w:rsid w:val="000557D1"/>
    <w:rsid w:val="00055B64"/>
    <w:rsid w:val="00055B74"/>
    <w:rsid w:val="00056F95"/>
    <w:rsid w:val="0006314A"/>
    <w:rsid w:val="00065C28"/>
    <w:rsid w:val="00070003"/>
    <w:rsid w:val="0007049C"/>
    <w:rsid w:val="000767BD"/>
    <w:rsid w:val="00080130"/>
    <w:rsid w:val="00082209"/>
    <w:rsid w:val="00082A3B"/>
    <w:rsid w:val="00082BBF"/>
    <w:rsid w:val="00082E6D"/>
    <w:rsid w:val="0008455A"/>
    <w:rsid w:val="00085B09"/>
    <w:rsid w:val="00091692"/>
    <w:rsid w:val="000921CA"/>
    <w:rsid w:val="00092F7B"/>
    <w:rsid w:val="00093F65"/>
    <w:rsid w:val="00094783"/>
    <w:rsid w:val="000A1977"/>
    <w:rsid w:val="000A218B"/>
    <w:rsid w:val="000A336A"/>
    <w:rsid w:val="000A4365"/>
    <w:rsid w:val="000A4E1C"/>
    <w:rsid w:val="000A5EAD"/>
    <w:rsid w:val="000A7319"/>
    <w:rsid w:val="000B10F2"/>
    <w:rsid w:val="000B1366"/>
    <w:rsid w:val="000B2251"/>
    <w:rsid w:val="000B430E"/>
    <w:rsid w:val="000C076D"/>
    <w:rsid w:val="000C23B4"/>
    <w:rsid w:val="000C26DC"/>
    <w:rsid w:val="000C27A3"/>
    <w:rsid w:val="000C4BCD"/>
    <w:rsid w:val="000C53CA"/>
    <w:rsid w:val="000C5459"/>
    <w:rsid w:val="000C75EF"/>
    <w:rsid w:val="000D7422"/>
    <w:rsid w:val="000E0880"/>
    <w:rsid w:val="000E29D0"/>
    <w:rsid w:val="000E3208"/>
    <w:rsid w:val="000E3370"/>
    <w:rsid w:val="000E3800"/>
    <w:rsid w:val="000E451B"/>
    <w:rsid w:val="000E726F"/>
    <w:rsid w:val="000E75BC"/>
    <w:rsid w:val="000F5DFA"/>
    <w:rsid w:val="000F678F"/>
    <w:rsid w:val="000F68EA"/>
    <w:rsid w:val="000F73C5"/>
    <w:rsid w:val="0010275E"/>
    <w:rsid w:val="00103425"/>
    <w:rsid w:val="001036D5"/>
    <w:rsid w:val="00113703"/>
    <w:rsid w:val="00115752"/>
    <w:rsid w:val="001159B7"/>
    <w:rsid w:val="001165BF"/>
    <w:rsid w:val="001170A6"/>
    <w:rsid w:val="001216FF"/>
    <w:rsid w:val="00121B5A"/>
    <w:rsid w:val="00123BAC"/>
    <w:rsid w:val="0012654D"/>
    <w:rsid w:val="001325B4"/>
    <w:rsid w:val="001367FD"/>
    <w:rsid w:val="00137128"/>
    <w:rsid w:val="001441AD"/>
    <w:rsid w:val="00153B5B"/>
    <w:rsid w:val="00156C53"/>
    <w:rsid w:val="001631B2"/>
    <w:rsid w:val="00163CF5"/>
    <w:rsid w:val="00164F82"/>
    <w:rsid w:val="00170FCA"/>
    <w:rsid w:val="001725A5"/>
    <w:rsid w:val="001732B1"/>
    <w:rsid w:val="001734E2"/>
    <w:rsid w:val="00174A9E"/>
    <w:rsid w:val="00174F7C"/>
    <w:rsid w:val="001752E2"/>
    <w:rsid w:val="00177AA1"/>
    <w:rsid w:val="001818B4"/>
    <w:rsid w:val="00182F5B"/>
    <w:rsid w:val="001877AA"/>
    <w:rsid w:val="00192F15"/>
    <w:rsid w:val="001931F6"/>
    <w:rsid w:val="00193B63"/>
    <w:rsid w:val="00196B6E"/>
    <w:rsid w:val="001A1A46"/>
    <w:rsid w:val="001A4FE9"/>
    <w:rsid w:val="001A5808"/>
    <w:rsid w:val="001A690E"/>
    <w:rsid w:val="001A6F87"/>
    <w:rsid w:val="001B04EB"/>
    <w:rsid w:val="001B4DF1"/>
    <w:rsid w:val="001B4F32"/>
    <w:rsid w:val="001B6B42"/>
    <w:rsid w:val="001C00DE"/>
    <w:rsid w:val="001C1974"/>
    <w:rsid w:val="001C29C9"/>
    <w:rsid w:val="001C5B8A"/>
    <w:rsid w:val="001C7F40"/>
    <w:rsid w:val="001D0BB6"/>
    <w:rsid w:val="001D2BA9"/>
    <w:rsid w:val="001D2F64"/>
    <w:rsid w:val="001D4284"/>
    <w:rsid w:val="001D6A53"/>
    <w:rsid w:val="001E3E3C"/>
    <w:rsid w:val="001E4768"/>
    <w:rsid w:val="001E561F"/>
    <w:rsid w:val="001E77B8"/>
    <w:rsid w:val="001F08A3"/>
    <w:rsid w:val="001F3A34"/>
    <w:rsid w:val="001F47A6"/>
    <w:rsid w:val="001F4C61"/>
    <w:rsid w:val="001F6EB3"/>
    <w:rsid w:val="001F7768"/>
    <w:rsid w:val="00200202"/>
    <w:rsid w:val="002002D5"/>
    <w:rsid w:val="00202628"/>
    <w:rsid w:val="00202B93"/>
    <w:rsid w:val="002048D9"/>
    <w:rsid w:val="0020631D"/>
    <w:rsid w:val="00206937"/>
    <w:rsid w:val="00212F50"/>
    <w:rsid w:val="002140CF"/>
    <w:rsid w:val="002149BF"/>
    <w:rsid w:val="002162DF"/>
    <w:rsid w:val="00217C8F"/>
    <w:rsid w:val="002204C2"/>
    <w:rsid w:val="002231DB"/>
    <w:rsid w:val="00224154"/>
    <w:rsid w:val="002248C5"/>
    <w:rsid w:val="00230DD4"/>
    <w:rsid w:val="00231BDA"/>
    <w:rsid w:val="00232575"/>
    <w:rsid w:val="00233B6B"/>
    <w:rsid w:val="00236041"/>
    <w:rsid w:val="002367E3"/>
    <w:rsid w:val="0023768E"/>
    <w:rsid w:val="0023789D"/>
    <w:rsid w:val="00241367"/>
    <w:rsid w:val="0024215D"/>
    <w:rsid w:val="0024289C"/>
    <w:rsid w:val="00243BE9"/>
    <w:rsid w:val="00245113"/>
    <w:rsid w:val="00247909"/>
    <w:rsid w:val="0024799F"/>
    <w:rsid w:val="00250E10"/>
    <w:rsid w:val="00252343"/>
    <w:rsid w:val="00253608"/>
    <w:rsid w:val="00256DB4"/>
    <w:rsid w:val="002614DD"/>
    <w:rsid w:val="00267289"/>
    <w:rsid w:val="00267373"/>
    <w:rsid w:val="002776B4"/>
    <w:rsid w:val="00277E03"/>
    <w:rsid w:val="002800E0"/>
    <w:rsid w:val="002842F1"/>
    <w:rsid w:val="002871ED"/>
    <w:rsid w:val="002872CC"/>
    <w:rsid w:val="00291FE9"/>
    <w:rsid w:val="00296265"/>
    <w:rsid w:val="0029799A"/>
    <w:rsid w:val="002A0312"/>
    <w:rsid w:val="002A0946"/>
    <w:rsid w:val="002A1C9F"/>
    <w:rsid w:val="002A20BA"/>
    <w:rsid w:val="002A2AD0"/>
    <w:rsid w:val="002A628E"/>
    <w:rsid w:val="002A74AC"/>
    <w:rsid w:val="002A7C0D"/>
    <w:rsid w:val="002B6C72"/>
    <w:rsid w:val="002B7ECC"/>
    <w:rsid w:val="002C1180"/>
    <w:rsid w:val="002C3408"/>
    <w:rsid w:val="002C3497"/>
    <w:rsid w:val="002C64DC"/>
    <w:rsid w:val="002D21BD"/>
    <w:rsid w:val="002D24E7"/>
    <w:rsid w:val="002D2E18"/>
    <w:rsid w:val="002D41BF"/>
    <w:rsid w:val="002D4AAC"/>
    <w:rsid w:val="002D4D74"/>
    <w:rsid w:val="002D636A"/>
    <w:rsid w:val="002D706A"/>
    <w:rsid w:val="002E0509"/>
    <w:rsid w:val="002E59C4"/>
    <w:rsid w:val="002F08FA"/>
    <w:rsid w:val="002F2A61"/>
    <w:rsid w:val="002F33DC"/>
    <w:rsid w:val="002F41BD"/>
    <w:rsid w:val="002F7051"/>
    <w:rsid w:val="002F783C"/>
    <w:rsid w:val="00302352"/>
    <w:rsid w:val="00302CA9"/>
    <w:rsid w:val="003069AF"/>
    <w:rsid w:val="00311C51"/>
    <w:rsid w:val="00312401"/>
    <w:rsid w:val="0031549B"/>
    <w:rsid w:val="003156F0"/>
    <w:rsid w:val="00320128"/>
    <w:rsid w:val="00321562"/>
    <w:rsid w:val="00323526"/>
    <w:rsid w:val="003314B3"/>
    <w:rsid w:val="00331A5F"/>
    <w:rsid w:val="00334193"/>
    <w:rsid w:val="00335ECE"/>
    <w:rsid w:val="0033650B"/>
    <w:rsid w:val="0034135A"/>
    <w:rsid w:val="00343ACB"/>
    <w:rsid w:val="0034580D"/>
    <w:rsid w:val="00346717"/>
    <w:rsid w:val="00346EE8"/>
    <w:rsid w:val="00347928"/>
    <w:rsid w:val="00347C63"/>
    <w:rsid w:val="00350EF0"/>
    <w:rsid w:val="00353290"/>
    <w:rsid w:val="00354074"/>
    <w:rsid w:val="00356504"/>
    <w:rsid w:val="003569C7"/>
    <w:rsid w:val="00361EBF"/>
    <w:rsid w:val="003667EF"/>
    <w:rsid w:val="0036747C"/>
    <w:rsid w:val="00371E38"/>
    <w:rsid w:val="00372BE9"/>
    <w:rsid w:val="00373277"/>
    <w:rsid w:val="003748E9"/>
    <w:rsid w:val="003768D1"/>
    <w:rsid w:val="0038104F"/>
    <w:rsid w:val="003820D6"/>
    <w:rsid w:val="00383762"/>
    <w:rsid w:val="00385661"/>
    <w:rsid w:val="00387B41"/>
    <w:rsid w:val="00390E1A"/>
    <w:rsid w:val="003917C6"/>
    <w:rsid w:val="00396734"/>
    <w:rsid w:val="00396CDF"/>
    <w:rsid w:val="00397425"/>
    <w:rsid w:val="003A0682"/>
    <w:rsid w:val="003A3EF8"/>
    <w:rsid w:val="003A4728"/>
    <w:rsid w:val="003A4B31"/>
    <w:rsid w:val="003A5BE8"/>
    <w:rsid w:val="003B0DD2"/>
    <w:rsid w:val="003B1282"/>
    <w:rsid w:val="003B24A6"/>
    <w:rsid w:val="003B26B4"/>
    <w:rsid w:val="003B3C8C"/>
    <w:rsid w:val="003B4893"/>
    <w:rsid w:val="003B5BBE"/>
    <w:rsid w:val="003B6AD0"/>
    <w:rsid w:val="003B6AD7"/>
    <w:rsid w:val="003C0017"/>
    <w:rsid w:val="003C04E0"/>
    <w:rsid w:val="003C0864"/>
    <w:rsid w:val="003C3448"/>
    <w:rsid w:val="003C464E"/>
    <w:rsid w:val="003C5248"/>
    <w:rsid w:val="003C5304"/>
    <w:rsid w:val="003C56AD"/>
    <w:rsid w:val="003D05C9"/>
    <w:rsid w:val="003D21FC"/>
    <w:rsid w:val="003E0D2C"/>
    <w:rsid w:val="003E0FD9"/>
    <w:rsid w:val="003E18D9"/>
    <w:rsid w:val="003E2095"/>
    <w:rsid w:val="003E2836"/>
    <w:rsid w:val="003E2C83"/>
    <w:rsid w:val="003E362D"/>
    <w:rsid w:val="003F0C94"/>
    <w:rsid w:val="003F2B4B"/>
    <w:rsid w:val="003F4C3B"/>
    <w:rsid w:val="003F6A7C"/>
    <w:rsid w:val="004010BE"/>
    <w:rsid w:val="00401BA3"/>
    <w:rsid w:val="00402EB3"/>
    <w:rsid w:val="0040311E"/>
    <w:rsid w:val="00404D11"/>
    <w:rsid w:val="0040533F"/>
    <w:rsid w:val="0041003E"/>
    <w:rsid w:val="004104D9"/>
    <w:rsid w:val="0041117B"/>
    <w:rsid w:val="004133A7"/>
    <w:rsid w:val="00417029"/>
    <w:rsid w:val="004200D3"/>
    <w:rsid w:val="00422513"/>
    <w:rsid w:val="00423FAF"/>
    <w:rsid w:val="00424497"/>
    <w:rsid w:val="00425096"/>
    <w:rsid w:val="00426C95"/>
    <w:rsid w:val="00437F46"/>
    <w:rsid w:val="00443B28"/>
    <w:rsid w:val="00444509"/>
    <w:rsid w:val="004458C1"/>
    <w:rsid w:val="00450AF3"/>
    <w:rsid w:val="00451E72"/>
    <w:rsid w:val="004556B1"/>
    <w:rsid w:val="00457118"/>
    <w:rsid w:val="004637B8"/>
    <w:rsid w:val="00465DC2"/>
    <w:rsid w:val="00467358"/>
    <w:rsid w:val="004725FB"/>
    <w:rsid w:val="00473FB1"/>
    <w:rsid w:val="00475B20"/>
    <w:rsid w:val="00481867"/>
    <w:rsid w:val="004819DA"/>
    <w:rsid w:val="00483D10"/>
    <w:rsid w:val="0048507C"/>
    <w:rsid w:val="0048685E"/>
    <w:rsid w:val="0049004A"/>
    <w:rsid w:val="00491C22"/>
    <w:rsid w:val="004957B3"/>
    <w:rsid w:val="004A0615"/>
    <w:rsid w:val="004A170C"/>
    <w:rsid w:val="004A175C"/>
    <w:rsid w:val="004A36DD"/>
    <w:rsid w:val="004B0C78"/>
    <w:rsid w:val="004B317F"/>
    <w:rsid w:val="004B37F6"/>
    <w:rsid w:val="004B69FD"/>
    <w:rsid w:val="004C2440"/>
    <w:rsid w:val="004C2D29"/>
    <w:rsid w:val="004C4F0F"/>
    <w:rsid w:val="004C5C06"/>
    <w:rsid w:val="004D0514"/>
    <w:rsid w:val="004D077B"/>
    <w:rsid w:val="004D2A45"/>
    <w:rsid w:val="004D5953"/>
    <w:rsid w:val="004D5ED0"/>
    <w:rsid w:val="004D7342"/>
    <w:rsid w:val="004D7FB5"/>
    <w:rsid w:val="004E04FF"/>
    <w:rsid w:val="004E15B7"/>
    <w:rsid w:val="004E1ACD"/>
    <w:rsid w:val="004E2D25"/>
    <w:rsid w:val="004E327F"/>
    <w:rsid w:val="004E53E9"/>
    <w:rsid w:val="004E70AA"/>
    <w:rsid w:val="004F092A"/>
    <w:rsid w:val="004F141E"/>
    <w:rsid w:val="004F1DEE"/>
    <w:rsid w:val="004F2264"/>
    <w:rsid w:val="004F2DA6"/>
    <w:rsid w:val="004F3BBE"/>
    <w:rsid w:val="004F66F7"/>
    <w:rsid w:val="004F69B8"/>
    <w:rsid w:val="004F6AE4"/>
    <w:rsid w:val="004F6F05"/>
    <w:rsid w:val="00500D18"/>
    <w:rsid w:val="00504817"/>
    <w:rsid w:val="00505EA0"/>
    <w:rsid w:val="005140F9"/>
    <w:rsid w:val="0051564C"/>
    <w:rsid w:val="005174D1"/>
    <w:rsid w:val="00520014"/>
    <w:rsid w:val="005207EA"/>
    <w:rsid w:val="00522C51"/>
    <w:rsid w:val="0052476D"/>
    <w:rsid w:val="0052494F"/>
    <w:rsid w:val="0052733D"/>
    <w:rsid w:val="0053373B"/>
    <w:rsid w:val="00533A1C"/>
    <w:rsid w:val="005364DE"/>
    <w:rsid w:val="005375F9"/>
    <w:rsid w:val="005378FD"/>
    <w:rsid w:val="00537A56"/>
    <w:rsid w:val="00543AC5"/>
    <w:rsid w:val="005450FD"/>
    <w:rsid w:val="0054526D"/>
    <w:rsid w:val="005460FF"/>
    <w:rsid w:val="00551873"/>
    <w:rsid w:val="0055570F"/>
    <w:rsid w:val="00556055"/>
    <w:rsid w:val="00561839"/>
    <w:rsid w:val="00564DB2"/>
    <w:rsid w:val="00566DBF"/>
    <w:rsid w:val="0057024E"/>
    <w:rsid w:val="005752B4"/>
    <w:rsid w:val="00582942"/>
    <w:rsid w:val="00583C85"/>
    <w:rsid w:val="0059086F"/>
    <w:rsid w:val="00591AFB"/>
    <w:rsid w:val="0059258B"/>
    <w:rsid w:val="00593B0B"/>
    <w:rsid w:val="00595484"/>
    <w:rsid w:val="00595544"/>
    <w:rsid w:val="005A09F6"/>
    <w:rsid w:val="005A1D7D"/>
    <w:rsid w:val="005A2A8F"/>
    <w:rsid w:val="005A2D63"/>
    <w:rsid w:val="005A32F1"/>
    <w:rsid w:val="005B0B8F"/>
    <w:rsid w:val="005B288B"/>
    <w:rsid w:val="005B2B49"/>
    <w:rsid w:val="005B3BF4"/>
    <w:rsid w:val="005B4BC1"/>
    <w:rsid w:val="005B508E"/>
    <w:rsid w:val="005B5E84"/>
    <w:rsid w:val="005B7448"/>
    <w:rsid w:val="005C4770"/>
    <w:rsid w:val="005C52B5"/>
    <w:rsid w:val="005C5AAB"/>
    <w:rsid w:val="005C60BF"/>
    <w:rsid w:val="005C719B"/>
    <w:rsid w:val="005C7379"/>
    <w:rsid w:val="005D0081"/>
    <w:rsid w:val="005D060B"/>
    <w:rsid w:val="005D1A0B"/>
    <w:rsid w:val="005D2460"/>
    <w:rsid w:val="005D2A78"/>
    <w:rsid w:val="005D2B88"/>
    <w:rsid w:val="005D6523"/>
    <w:rsid w:val="005E0A3A"/>
    <w:rsid w:val="005F3AB7"/>
    <w:rsid w:val="005F5FDA"/>
    <w:rsid w:val="005F63B5"/>
    <w:rsid w:val="0060026F"/>
    <w:rsid w:val="00600CC2"/>
    <w:rsid w:val="00602549"/>
    <w:rsid w:val="006039EA"/>
    <w:rsid w:val="00603D83"/>
    <w:rsid w:val="006060FF"/>
    <w:rsid w:val="0060741A"/>
    <w:rsid w:val="006078F6"/>
    <w:rsid w:val="006138F6"/>
    <w:rsid w:val="006167D0"/>
    <w:rsid w:val="00616B10"/>
    <w:rsid w:val="00621EA8"/>
    <w:rsid w:val="00622610"/>
    <w:rsid w:val="00626060"/>
    <w:rsid w:val="0063259E"/>
    <w:rsid w:val="00633FB6"/>
    <w:rsid w:val="0063717C"/>
    <w:rsid w:val="0063723D"/>
    <w:rsid w:val="00641EBB"/>
    <w:rsid w:val="00645160"/>
    <w:rsid w:val="00646C4D"/>
    <w:rsid w:val="00647285"/>
    <w:rsid w:val="006508DD"/>
    <w:rsid w:val="006511C9"/>
    <w:rsid w:val="00651DE8"/>
    <w:rsid w:val="006520D7"/>
    <w:rsid w:val="006535BF"/>
    <w:rsid w:val="00654BA6"/>
    <w:rsid w:val="00660B7F"/>
    <w:rsid w:val="00665C94"/>
    <w:rsid w:val="00666478"/>
    <w:rsid w:val="006712F2"/>
    <w:rsid w:val="00671574"/>
    <w:rsid w:val="00671C28"/>
    <w:rsid w:val="006735F7"/>
    <w:rsid w:val="0067509A"/>
    <w:rsid w:val="00677528"/>
    <w:rsid w:val="00680A55"/>
    <w:rsid w:val="00683054"/>
    <w:rsid w:val="00683804"/>
    <w:rsid w:val="00683CAC"/>
    <w:rsid w:val="00690A2D"/>
    <w:rsid w:val="0069317E"/>
    <w:rsid w:val="00694F2D"/>
    <w:rsid w:val="006961A1"/>
    <w:rsid w:val="0069746A"/>
    <w:rsid w:val="00697E06"/>
    <w:rsid w:val="006A0C65"/>
    <w:rsid w:val="006A2C9E"/>
    <w:rsid w:val="006A45D0"/>
    <w:rsid w:val="006A51D0"/>
    <w:rsid w:val="006A5A8C"/>
    <w:rsid w:val="006B67A4"/>
    <w:rsid w:val="006B7143"/>
    <w:rsid w:val="006C0B69"/>
    <w:rsid w:val="006C1BAF"/>
    <w:rsid w:val="006C26B5"/>
    <w:rsid w:val="006C2EC0"/>
    <w:rsid w:val="006C36F7"/>
    <w:rsid w:val="006C4553"/>
    <w:rsid w:val="006C51F0"/>
    <w:rsid w:val="006D141D"/>
    <w:rsid w:val="006D1900"/>
    <w:rsid w:val="006D2643"/>
    <w:rsid w:val="006D37B2"/>
    <w:rsid w:val="006E0650"/>
    <w:rsid w:val="006E3CC8"/>
    <w:rsid w:val="006E7876"/>
    <w:rsid w:val="006E7C93"/>
    <w:rsid w:val="006E7D2C"/>
    <w:rsid w:val="006F210F"/>
    <w:rsid w:val="006F326A"/>
    <w:rsid w:val="006F40E3"/>
    <w:rsid w:val="006F458D"/>
    <w:rsid w:val="006F4D7D"/>
    <w:rsid w:val="006F55EF"/>
    <w:rsid w:val="006F7637"/>
    <w:rsid w:val="006F7669"/>
    <w:rsid w:val="00700D5B"/>
    <w:rsid w:val="007010B0"/>
    <w:rsid w:val="007042A2"/>
    <w:rsid w:val="00706086"/>
    <w:rsid w:val="00706BD6"/>
    <w:rsid w:val="0070771D"/>
    <w:rsid w:val="00711A02"/>
    <w:rsid w:val="007131A8"/>
    <w:rsid w:val="00714386"/>
    <w:rsid w:val="0071444E"/>
    <w:rsid w:val="0071463C"/>
    <w:rsid w:val="007146B1"/>
    <w:rsid w:val="0071477D"/>
    <w:rsid w:val="00715857"/>
    <w:rsid w:val="00715DD5"/>
    <w:rsid w:val="007201D4"/>
    <w:rsid w:val="00723715"/>
    <w:rsid w:val="007237DF"/>
    <w:rsid w:val="00727D59"/>
    <w:rsid w:val="0073041B"/>
    <w:rsid w:val="007315FE"/>
    <w:rsid w:val="00733A61"/>
    <w:rsid w:val="00733EB1"/>
    <w:rsid w:val="00735EA6"/>
    <w:rsid w:val="007406A8"/>
    <w:rsid w:val="00741CC3"/>
    <w:rsid w:val="00741D0B"/>
    <w:rsid w:val="00742214"/>
    <w:rsid w:val="00747C9F"/>
    <w:rsid w:val="007576C0"/>
    <w:rsid w:val="00762FAB"/>
    <w:rsid w:val="00765802"/>
    <w:rsid w:val="0077065D"/>
    <w:rsid w:val="007718E3"/>
    <w:rsid w:val="00773AFC"/>
    <w:rsid w:val="0077511A"/>
    <w:rsid w:val="00775C63"/>
    <w:rsid w:val="00776479"/>
    <w:rsid w:val="007777DB"/>
    <w:rsid w:val="0078153D"/>
    <w:rsid w:val="00781770"/>
    <w:rsid w:val="00783785"/>
    <w:rsid w:val="007843B2"/>
    <w:rsid w:val="007848F0"/>
    <w:rsid w:val="00784DCD"/>
    <w:rsid w:val="007853C8"/>
    <w:rsid w:val="0078570E"/>
    <w:rsid w:val="00785D5F"/>
    <w:rsid w:val="0079122F"/>
    <w:rsid w:val="0079264A"/>
    <w:rsid w:val="00792A63"/>
    <w:rsid w:val="00793F8B"/>
    <w:rsid w:val="00794137"/>
    <w:rsid w:val="007977CF"/>
    <w:rsid w:val="007A12D9"/>
    <w:rsid w:val="007A4B72"/>
    <w:rsid w:val="007A4D2D"/>
    <w:rsid w:val="007A6340"/>
    <w:rsid w:val="007A73D0"/>
    <w:rsid w:val="007A7466"/>
    <w:rsid w:val="007B08D5"/>
    <w:rsid w:val="007C1B7D"/>
    <w:rsid w:val="007C3D2C"/>
    <w:rsid w:val="007C670E"/>
    <w:rsid w:val="007C71CA"/>
    <w:rsid w:val="007C7285"/>
    <w:rsid w:val="007D2176"/>
    <w:rsid w:val="007D72B2"/>
    <w:rsid w:val="007E0148"/>
    <w:rsid w:val="007E0F22"/>
    <w:rsid w:val="007E14A0"/>
    <w:rsid w:val="007E3B08"/>
    <w:rsid w:val="007E48E0"/>
    <w:rsid w:val="007E71C4"/>
    <w:rsid w:val="007F2F91"/>
    <w:rsid w:val="007F4F77"/>
    <w:rsid w:val="007F71AC"/>
    <w:rsid w:val="007F7382"/>
    <w:rsid w:val="007F752F"/>
    <w:rsid w:val="007F7C01"/>
    <w:rsid w:val="00802D64"/>
    <w:rsid w:val="00804825"/>
    <w:rsid w:val="00806102"/>
    <w:rsid w:val="008068E4"/>
    <w:rsid w:val="00807C5C"/>
    <w:rsid w:val="0081021C"/>
    <w:rsid w:val="00810D8C"/>
    <w:rsid w:val="008114AF"/>
    <w:rsid w:val="00813665"/>
    <w:rsid w:val="00816CB3"/>
    <w:rsid w:val="0082096B"/>
    <w:rsid w:val="00821BCD"/>
    <w:rsid w:val="008227AC"/>
    <w:rsid w:val="0082299A"/>
    <w:rsid w:val="00822B01"/>
    <w:rsid w:val="00832125"/>
    <w:rsid w:val="0083285D"/>
    <w:rsid w:val="0083295C"/>
    <w:rsid w:val="00832A6A"/>
    <w:rsid w:val="008336AF"/>
    <w:rsid w:val="00837BC6"/>
    <w:rsid w:val="00840B21"/>
    <w:rsid w:val="008437FF"/>
    <w:rsid w:val="00844291"/>
    <w:rsid w:val="00844DCC"/>
    <w:rsid w:val="0084535E"/>
    <w:rsid w:val="00851DDD"/>
    <w:rsid w:val="00851F21"/>
    <w:rsid w:val="00853D54"/>
    <w:rsid w:val="00855391"/>
    <w:rsid w:val="00857D51"/>
    <w:rsid w:val="00860966"/>
    <w:rsid w:val="008628B7"/>
    <w:rsid w:val="00863075"/>
    <w:rsid w:val="008636C1"/>
    <w:rsid w:val="00871591"/>
    <w:rsid w:val="0087176E"/>
    <w:rsid w:val="008721E4"/>
    <w:rsid w:val="00872F51"/>
    <w:rsid w:val="0087673C"/>
    <w:rsid w:val="008809AB"/>
    <w:rsid w:val="00881216"/>
    <w:rsid w:val="00884B84"/>
    <w:rsid w:val="00890F70"/>
    <w:rsid w:val="00892AFD"/>
    <w:rsid w:val="00896500"/>
    <w:rsid w:val="008A259B"/>
    <w:rsid w:val="008A3BA8"/>
    <w:rsid w:val="008A54A5"/>
    <w:rsid w:val="008A69EF"/>
    <w:rsid w:val="008A6E13"/>
    <w:rsid w:val="008B02BD"/>
    <w:rsid w:val="008B1377"/>
    <w:rsid w:val="008B672C"/>
    <w:rsid w:val="008C6CFF"/>
    <w:rsid w:val="008C7B51"/>
    <w:rsid w:val="008D15B5"/>
    <w:rsid w:val="008D423D"/>
    <w:rsid w:val="008D46D7"/>
    <w:rsid w:val="008D557D"/>
    <w:rsid w:val="008D5C4B"/>
    <w:rsid w:val="008D6764"/>
    <w:rsid w:val="008E2C63"/>
    <w:rsid w:val="008E3793"/>
    <w:rsid w:val="008E3C39"/>
    <w:rsid w:val="008E55D1"/>
    <w:rsid w:val="008F03AB"/>
    <w:rsid w:val="008F36DE"/>
    <w:rsid w:val="008F54B8"/>
    <w:rsid w:val="0090290E"/>
    <w:rsid w:val="009106AD"/>
    <w:rsid w:val="00912CC7"/>
    <w:rsid w:val="009145B4"/>
    <w:rsid w:val="009171FB"/>
    <w:rsid w:val="00917721"/>
    <w:rsid w:val="00920738"/>
    <w:rsid w:val="00926CD4"/>
    <w:rsid w:val="0092722C"/>
    <w:rsid w:val="00927784"/>
    <w:rsid w:val="0092795E"/>
    <w:rsid w:val="00931B09"/>
    <w:rsid w:val="00933570"/>
    <w:rsid w:val="00935BF0"/>
    <w:rsid w:val="00936946"/>
    <w:rsid w:val="00937267"/>
    <w:rsid w:val="00937D76"/>
    <w:rsid w:val="00940635"/>
    <w:rsid w:val="0094349C"/>
    <w:rsid w:val="00945B0B"/>
    <w:rsid w:val="00950220"/>
    <w:rsid w:val="00952288"/>
    <w:rsid w:val="00953B51"/>
    <w:rsid w:val="009561AA"/>
    <w:rsid w:val="00956758"/>
    <w:rsid w:val="009579D4"/>
    <w:rsid w:val="00967158"/>
    <w:rsid w:val="00970A0F"/>
    <w:rsid w:val="009718B6"/>
    <w:rsid w:val="00972DEB"/>
    <w:rsid w:val="009738DF"/>
    <w:rsid w:val="00973D57"/>
    <w:rsid w:val="00975D3E"/>
    <w:rsid w:val="00976C1D"/>
    <w:rsid w:val="0098173A"/>
    <w:rsid w:val="00982F14"/>
    <w:rsid w:val="009838CA"/>
    <w:rsid w:val="009840F5"/>
    <w:rsid w:val="00985CC9"/>
    <w:rsid w:val="009860AF"/>
    <w:rsid w:val="00987043"/>
    <w:rsid w:val="0099043C"/>
    <w:rsid w:val="00990F02"/>
    <w:rsid w:val="00992E62"/>
    <w:rsid w:val="009935CF"/>
    <w:rsid w:val="0099499B"/>
    <w:rsid w:val="009A652A"/>
    <w:rsid w:val="009A6A68"/>
    <w:rsid w:val="009B126C"/>
    <w:rsid w:val="009B14F7"/>
    <w:rsid w:val="009B1511"/>
    <w:rsid w:val="009B1AD9"/>
    <w:rsid w:val="009B292E"/>
    <w:rsid w:val="009B387F"/>
    <w:rsid w:val="009B45E4"/>
    <w:rsid w:val="009B6F7B"/>
    <w:rsid w:val="009C43E0"/>
    <w:rsid w:val="009C54DD"/>
    <w:rsid w:val="009C6090"/>
    <w:rsid w:val="009D25CA"/>
    <w:rsid w:val="009D2F3B"/>
    <w:rsid w:val="009D4D43"/>
    <w:rsid w:val="009E43F9"/>
    <w:rsid w:val="009E46A1"/>
    <w:rsid w:val="009E5180"/>
    <w:rsid w:val="009E6934"/>
    <w:rsid w:val="009F05A4"/>
    <w:rsid w:val="009F104C"/>
    <w:rsid w:val="009F1229"/>
    <w:rsid w:val="009F6C47"/>
    <w:rsid w:val="00A000A9"/>
    <w:rsid w:val="00A013F6"/>
    <w:rsid w:val="00A02515"/>
    <w:rsid w:val="00A0395D"/>
    <w:rsid w:val="00A0560B"/>
    <w:rsid w:val="00A06897"/>
    <w:rsid w:val="00A06B3B"/>
    <w:rsid w:val="00A070C3"/>
    <w:rsid w:val="00A103D5"/>
    <w:rsid w:val="00A11675"/>
    <w:rsid w:val="00A13995"/>
    <w:rsid w:val="00A14AA3"/>
    <w:rsid w:val="00A1560A"/>
    <w:rsid w:val="00A2095E"/>
    <w:rsid w:val="00A21955"/>
    <w:rsid w:val="00A260BD"/>
    <w:rsid w:val="00A27D50"/>
    <w:rsid w:val="00A30BB1"/>
    <w:rsid w:val="00A318D5"/>
    <w:rsid w:val="00A3570A"/>
    <w:rsid w:val="00A409F6"/>
    <w:rsid w:val="00A41708"/>
    <w:rsid w:val="00A47150"/>
    <w:rsid w:val="00A5312D"/>
    <w:rsid w:val="00A545CC"/>
    <w:rsid w:val="00A54AFB"/>
    <w:rsid w:val="00A5583C"/>
    <w:rsid w:val="00A57B5A"/>
    <w:rsid w:val="00A60204"/>
    <w:rsid w:val="00A636E2"/>
    <w:rsid w:val="00A652D5"/>
    <w:rsid w:val="00A66776"/>
    <w:rsid w:val="00A66B40"/>
    <w:rsid w:val="00A70900"/>
    <w:rsid w:val="00A74BE4"/>
    <w:rsid w:val="00A74E66"/>
    <w:rsid w:val="00A770A7"/>
    <w:rsid w:val="00A802FF"/>
    <w:rsid w:val="00A8132F"/>
    <w:rsid w:val="00A821BC"/>
    <w:rsid w:val="00A83577"/>
    <w:rsid w:val="00A83B5A"/>
    <w:rsid w:val="00A83BEA"/>
    <w:rsid w:val="00A85DAB"/>
    <w:rsid w:val="00A93DB1"/>
    <w:rsid w:val="00A9520F"/>
    <w:rsid w:val="00A9755A"/>
    <w:rsid w:val="00AA17E3"/>
    <w:rsid w:val="00AA2334"/>
    <w:rsid w:val="00AA3414"/>
    <w:rsid w:val="00AA4060"/>
    <w:rsid w:val="00AA4B75"/>
    <w:rsid w:val="00AA6076"/>
    <w:rsid w:val="00AA7442"/>
    <w:rsid w:val="00AB0B08"/>
    <w:rsid w:val="00AB339B"/>
    <w:rsid w:val="00AB400D"/>
    <w:rsid w:val="00AB4BAA"/>
    <w:rsid w:val="00AC131E"/>
    <w:rsid w:val="00AC559A"/>
    <w:rsid w:val="00AC7F44"/>
    <w:rsid w:val="00AD2DB1"/>
    <w:rsid w:val="00AD46EE"/>
    <w:rsid w:val="00AD67EF"/>
    <w:rsid w:val="00AD7DED"/>
    <w:rsid w:val="00AE1AFC"/>
    <w:rsid w:val="00AE3332"/>
    <w:rsid w:val="00AE4B0A"/>
    <w:rsid w:val="00AF0A96"/>
    <w:rsid w:val="00AF1C29"/>
    <w:rsid w:val="00AF2C3F"/>
    <w:rsid w:val="00AF493E"/>
    <w:rsid w:val="00AF6749"/>
    <w:rsid w:val="00B05011"/>
    <w:rsid w:val="00B10BBC"/>
    <w:rsid w:val="00B11819"/>
    <w:rsid w:val="00B11DA8"/>
    <w:rsid w:val="00B13A08"/>
    <w:rsid w:val="00B15E9A"/>
    <w:rsid w:val="00B16397"/>
    <w:rsid w:val="00B1712B"/>
    <w:rsid w:val="00B20998"/>
    <w:rsid w:val="00B228D7"/>
    <w:rsid w:val="00B25B7F"/>
    <w:rsid w:val="00B275EB"/>
    <w:rsid w:val="00B30036"/>
    <w:rsid w:val="00B300FA"/>
    <w:rsid w:val="00B306AF"/>
    <w:rsid w:val="00B30E5C"/>
    <w:rsid w:val="00B31C80"/>
    <w:rsid w:val="00B35F85"/>
    <w:rsid w:val="00B37852"/>
    <w:rsid w:val="00B418B1"/>
    <w:rsid w:val="00B41D41"/>
    <w:rsid w:val="00B457ED"/>
    <w:rsid w:val="00B4688C"/>
    <w:rsid w:val="00B46928"/>
    <w:rsid w:val="00B51AD3"/>
    <w:rsid w:val="00B51E2C"/>
    <w:rsid w:val="00B53005"/>
    <w:rsid w:val="00B53513"/>
    <w:rsid w:val="00B542D5"/>
    <w:rsid w:val="00B56B5B"/>
    <w:rsid w:val="00B56CAC"/>
    <w:rsid w:val="00B57E38"/>
    <w:rsid w:val="00B60A42"/>
    <w:rsid w:val="00B632D4"/>
    <w:rsid w:val="00B635E3"/>
    <w:rsid w:val="00B6590F"/>
    <w:rsid w:val="00B67A8A"/>
    <w:rsid w:val="00B732D3"/>
    <w:rsid w:val="00B73C92"/>
    <w:rsid w:val="00B74D72"/>
    <w:rsid w:val="00B836CB"/>
    <w:rsid w:val="00B84F09"/>
    <w:rsid w:val="00B86B0B"/>
    <w:rsid w:val="00B914B3"/>
    <w:rsid w:val="00B923E3"/>
    <w:rsid w:val="00B924CB"/>
    <w:rsid w:val="00B93331"/>
    <w:rsid w:val="00B94511"/>
    <w:rsid w:val="00B9607E"/>
    <w:rsid w:val="00BA0926"/>
    <w:rsid w:val="00BA197E"/>
    <w:rsid w:val="00BA20CC"/>
    <w:rsid w:val="00BA501D"/>
    <w:rsid w:val="00BB2445"/>
    <w:rsid w:val="00BB2807"/>
    <w:rsid w:val="00BB3ECD"/>
    <w:rsid w:val="00BB4582"/>
    <w:rsid w:val="00BB691D"/>
    <w:rsid w:val="00BC2185"/>
    <w:rsid w:val="00BC2AF7"/>
    <w:rsid w:val="00BC3381"/>
    <w:rsid w:val="00BC4D81"/>
    <w:rsid w:val="00BC5E31"/>
    <w:rsid w:val="00BD1426"/>
    <w:rsid w:val="00BD44C6"/>
    <w:rsid w:val="00BD61BA"/>
    <w:rsid w:val="00BD6992"/>
    <w:rsid w:val="00BD6D81"/>
    <w:rsid w:val="00BD79A4"/>
    <w:rsid w:val="00BE36F4"/>
    <w:rsid w:val="00BF4735"/>
    <w:rsid w:val="00BF5F60"/>
    <w:rsid w:val="00C0170A"/>
    <w:rsid w:val="00C01BC1"/>
    <w:rsid w:val="00C03B0F"/>
    <w:rsid w:val="00C068C0"/>
    <w:rsid w:val="00C10F42"/>
    <w:rsid w:val="00C236E4"/>
    <w:rsid w:val="00C24842"/>
    <w:rsid w:val="00C253BC"/>
    <w:rsid w:val="00C25F05"/>
    <w:rsid w:val="00C26234"/>
    <w:rsid w:val="00C310C3"/>
    <w:rsid w:val="00C32448"/>
    <w:rsid w:val="00C34FE2"/>
    <w:rsid w:val="00C365BB"/>
    <w:rsid w:val="00C4696B"/>
    <w:rsid w:val="00C46B8A"/>
    <w:rsid w:val="00C51591"/>
    <w:rsid w:val="00C54114"/>
    <w:rsid w:val="00C547AD"/>
    <w:rsid w:val="00C55250"/>
    <w:rsid w:val="00C554E1"/>
    <w:rsid w:val="00C612CA"/>
    <w:rsid w:val="00C61316"/>
    <w:rsid w:val="00C61648"/>
    <w:rsid w:val="00C622C8"/>
    <w:rsid w:val="00C62A76"/>
    <w:rsid w:val="00C64C89"/>
    <w:rsid w:val="00C64EAB"/>
    <w:rsid w:val="00C6644E"/>
    <w:rsid w:val="00C66F35"/>
    <w:rsid w:val="00C70885"/>
    <w:rsid w:val="00C75BB8"/>
    <w:rsid w:val="00C7710A"/>
    <w:rsid w:val="00C81193"/>
    <w:rsid w:val="00C86B8C"/>
    <w:rsid w:val="00C87A21"/>
    <w:rsid w:val="00C90797"/>
    <w:rsid w:val="00C92028"/>
    <w:rsid w:val="00C9227B"/>
    <w:rsid w:val="00CA2006"/>
    <w:rsid w:val="00CB32BE"/>
    <w:rsid w:val="00CB3D4D"/>
    <w:rsid w:val="00CB72AB"/>
    <w:rsid w:val="00CB7BE5"/>
    <w:rsid w:val="00CC0DA0"/>
    <w:rsid w:val="00CC176B"/>
    <w:rsid w:val="00CC2594"/>
    <w:rsid w:val="00CC4DAD"/>
    <w:rsid w:val="00CC742B"/>
    <w:rsid w:val="00CC7AB2"/>
    <w:rsid w:val="00CD0862"/>
    <w:rsid w:val="00CD24ED"/>
    <w:rsid w:val="00CD7B62"/>
    <w:rsid w:val="00CE0F99"/>
    <w:rsid w:val="00CE11B4"/>
    <w:rsid w:val="00CE11D1"/>
    <w:rsid w:val="00CE19AE"/>
    <w:rsid w:val="00CE5214"/>
    <w:rsid w:val="00CF046E"/>
    <w:rsid w:val="00CF27C0"/>
    <w:rsid w:val="00CF2D50"/>
    <w:rsid w:val="00CF53B4"/>
    <w:rsid w:val="00CF5C9C"/>
    <w:rsid w:val="00CF6089"/>
    <w:rsid w:val="00CF6867"/>
    <w:rsid w:val="00CF6C91"/>
    <w:rsid w:val="00D00053"/>
    <w:rsid w:val="00D00183"/>
    <w:rsid w:val="00D02628"/>
    <w:rsid w:val="00D03A41"/>
    <w:rsid w:val="00D03DA2"/>
    <w:rsid w:val="00D0589A"/>
    <w:rsid w:val="00D062CE"/>
    <w:rsid w:val="00D06DDD"/>
    <w:rsid w:val="00D06E26"/>
    <w:rsid w:val="00D06FD0"/>
    <w:rsid w:val="00D13675"/>
    <w:rsid w:val="00D15BAD"/>
    <w:rsid w:val="00D17411"/>
    <w:rsid w:val="00D21776"/>
    <w:rsid w:val="00D238C0"/>
    <w:rsid w:val="00D2499B"/>
    <w:rsid w:val="00D30D9D"/>
    <w:rsid w:val="00D31C6F"/>
    <w:rsid w:val="00D32652"/>
    <w:rsid w:val="00D3265C"/>
    <w:rsid w:val="00D35107"/>
    <w:rsid w:val="00D373F8"/>
    <w:rsid w:val="00D40226"/>
    <w:rsid w:val="00D419AF"/>
    <w:rsid w:val="00D446BE"/>
    <w:rsid w:val="00D45072"/>
    <w:rsid w:val="00D45DE9"/>
    <w:rsid w:val="00D524E7"/>
    <w:rsid w:val="00D57E6F"/>
    <w:rsid w:val="00D6023E"/>
    <w:rsid w:val="00D60FE5"/>
    <w:rsid w:val="00D7006C"/>
    <w:rsid w:val="00D722A9"/>
    <w:rsid w:val="00D7350E"/>
    <w:rsid w:val="00D75136"/>
    <w:rsid w:val="00D75AAE"/>
    <w:rsid w:val="00D77B0D"/>
    <w:rsid w:val="00D80A06"/>
    <w:rsid w:val="00D81360"/>
    <w:rsid w:val="00D82288"/>
    <w:rsid w:val="00D82AD3"/>
    <w:rsid w:val="00D85636"/>
    <w:rsid w:val="00D86874"/>
    <w:rsid w:val="00D9443D"/>
    <w:rsid w:val="00D94DC5"/>
    <w:rsid w:val="00D95040"/>
    <w:rsid w:val="00D952E4"/>
    <w:rsid w:val="00D97A9F"/>
    <w:rsid w:val="00DA0D55"/>
    <w:rsid w:val="00DA1867"/>
    <w:rsid w:val="00DA2939"/>
    <w:rsid w:val="00DA4861"/>
    <w:rsid w:val="00DA4AD2"/>
    <w:rsid w:val="00DA7E5A"/>
    <w:rsid w:val="00DA7E87"/>
    <w:rsid w:val="00DB1F30"/>
    <w:rsid w:val="00DB4A2C"/>
    <w:rsid w:val="00DB6417"/>
    <w:rsid w:val="00DB76BB"/>
    <w:rsid w:val="00DB7790"/>
    <w:rsid w:val="00DC1ED8"/>
    <w:rsid w:val="00DC2ACE"/>
    <w:rsid w:val="00DC3343"/>
    <w:rsid w:val="00DC3A0F"/>
    <w:rsid w:val="00DD1920"/>
    <w:rsid w:val="00DD29EC"/>
    <w:rsid w:val="00DD2E83"/>
    <w:rsid w:val="00DD4C25"/>
    <w:rsid w:val="00DD5A29"/>
    <w:rsid w:val="00DD783B"/>
    <w:rsid w:val="00DD7A9D"/>
    <w:rsid w:val="00DE084D"/>
    <w:rsid w:val="00DE3DEE"/>
    <w:rsid w:val="00DE4A84"/>
    <w:rsid w:val="00DE62BB"/>
    <w:rsid w:val="00DE6625"/>
    <w:rsid w:val="00DF38FF"/>
    <w:rsid w:val="00DF4E09"/>
    <w:rsid w:val="00DF6321"/>
    <w:rsid w:val="00E0104F"/>
    <w:rsid w:val="00E01B75"/>
    <w:rsid w:val="00E027F2"/>
    <w:rsid w:val="00E05D8C"/>
    <w:rsid w:val="00E07131"/>
    <w:rsid w:val="00E10247"/>
    <w:rsid w:val="00E1245A"/>
    <w:rsid w:val="00E1540B"/>
    <w:rsid w:val="00E160D1"/>
    <w:rsid w:val="00E20EB9"/>
    <w:rsid w:val="00E2139E"/>
    <w:rsid w:val="00E22FDD"/>
    <w:rsid w:val="00E23CC8"/>
    <w:rsid w:val="00E23E60"/>
    <w:rsid w:val="00E2445F"/>
    <w:rsid w:val="00E257C1"/>
    <w:rsid w:val="00E25BF6"/>
    <w:rsid w:val="00E268CB"/>
    <w:rsid w:val="00E3335F"/>
    <w:rsid w:val="00E3527C"/>
    <w:rsid w:val="00E35DD6"/>
    <w:rsid w:val="00E36496"/>
    <w:rsid w:val="00E36606"/>
    <w:rsid w:val="00E41905"/>
    <w:rsid w:val="00E44A77"/>
    <w:rsid w:val="00E457AD"/>
    <w:rsid w:val="00E45894"/>
    <w:rsid w:val="00E46ADE"/>
    <w:rsid w:val="00E5385B"/>
    <w:rsid w:val="00E5452F"/>
    <w:rsid w:val="00E55432"/>
    <w:rsid w:val="00E55D5F"/>
    <w:rsid w:val="00E56EAF"/>
    <w:rsid w:val="00E61D79"/>
    <w:rsid w:val="00E6706D"/>
    <w:rsid w:val="00E71A59"/>
    <w:rsid w:val="00E76B5F"/>
    <w:rsid w:val="00E76EC2"/>
    <w:rsid w:val="00E7705B"/>
    <w:rsid w:val="00E77114"/>
    <w:rsid w:val="00E80ACB"/>
    <w:rsid w:val="00E81398"/>
    <w:rsid w:val="00E81644"/>
    <w:rsid w:val="00E82C5B"/>
    <w:rsid w:val="00E82D62"/>
    <w:rsid w:val="00E86CA5"/>
    <w:rsid w:val="00E90A9A"/>
    <w:rsid w:val="00E9159F"/>
    <w:rsid w:val="00E91EA3"/>
    <w:rsid w:val="00E946C1"/>
    <w:rsid w:val="00E95360"/>
    <w:rsid w:val="00E970B3"/>
    <w:rsid w:val="00E97D16"/>
    <w:rsid w:val="00EA0E75"/>
    <w:rsid w:val="00EA2DA3"/>
    <w:rsid w:val="00EA4593"/>
    <w:rsid w:val="00EA637B"/>
    <w:rsid w:val="00EA7D24"/>
    <w:rsid w:val="00EA7D67"/>
    <w:rsid w:val="00EB05CF"/>
    <w:rsid w:val="00EB6F44"/>
    <w:rsid w:val="00EC1092"/>
    <w:rsid w:val="00EC1DF4"/>
    <w:rsid w:val="00EC2A37"/>
    <w:rsid w:val="00EC2E79"/>
    <w:rsid w:val="00EC40D6"/>
    <w:rsid w:val="00EC521C"/>
    <w:rsid w:val="00EC59FF"/>
    <w:rsid w:val="00EC61F7"/>
    <w:rsid w:val="00EC7ADA"/>
    <w:rsid w:val="00EC7DBF"/>
    <w:rsid w:val="00ED0C7D"/>
    <w:rsid w:val="00ED1889"/>
    <w:rsid w:val="00ED215A"/>
    <w:rsid w:val="00ED53B2"/>
    <w:rsid w:val="00ED6541"/>
    <w:rsid w:val="00ED7BC2"/>
    <w:rsid w:val="00EE1E50"/>
    <w:rsid w:val="00EE1E97"/>
    <w:rsid w:val="00EE339C"/>
    <w:rsid w:val="00EE420A"/>
    <w:rsid w:val="00EE4CFF"/>
    <w:rsid w:val="00EF06B3"/>
    <w:rsid w:val="00EF09D8"/>
    <w:rsid w:val="00EF20AA"/>
    <w:rsid w:val="00EF5416"/>
    <w:rsid w:val="00EF6E18"/>
    <w:rsid w:val="00F02284"/>
    <w:rsid w:val="00F03840"/>
    <w:rsid w:val="00F05E57"/>
    <w:rsid w:val="00F144C5"/>
    <w:rsid w:val="00F14E98"/>
    <w:rsid w:val="00F15403"/>
    <w:rsid w:val="00F2288C"/>
    <w:rsid w:val="00F2294A"/>
    <w:rsid w:val="00F22A03"/>
    <w:rsid w:val="00F242F4"/>
    <w:rsid w:val="00F25958"/>
    <w:rsid w:val="00F2625B"/>
    <w:rsid w:val="00F30046"/>
    <w:rsid w:val="00F351EA"/>
    <w:rsid w:val="00F355C1"/>
    <w:rsid w:val="00F40400"/>
    <w:rsid w:val="00F40830"/>
    <w:rsid w:val="00F413A0"/>
    <w:rsid w:val="00F41765"/>
    <w:rsid w:val="00F43775"/>
    <w:rsid w:val="00F44759"/>
    <w:rsid w:val="00F44880"/>
    <w:rsid w:val="00F44F18"/>
    <w:rsid w:val="00F47A09"/>
    <w:rsid w:val="00F47B3C"/>
    <w:rsid w:val="00F5000C"/>
    <w:rsid w:val="00F52586"/>
    <w:rsid w:val="00F56346"/>
    <w:rsid w:val="00F56FC5"/>
    <w:rsid w:val="00F5774B"/>
    <w:rsid w:val="00F61B5E"/>
    <w:rsid w:val="00F62571"/>
    <w:rsid w:val="00F71774"/>
    <w:rsid w:val="00F72468"/>
    <w:rsid w:val="00F72CC8"/>
    <w:rsid w:val="00F74D5E"/>
    <w:rsid w:val="00F825FE"/>
    <w:rsid w:val="00F82C24"/>
    <w:rsid w:val="00F83887"/>
    <w:rsid w:val="00F841CE"/>
    <w:rsid w:val="00F84D92"/>
    <w:rsid w:val="00F8589B"/>
    <w:rsid w:val="00F872B1"/>
    <w:rsid w:val="00F87E20"/>
    <w:rsid w:val="00F91EBF"/>
    <w:rsid w:val="00F9483F"/>
    <w:rsid w:val="00F97C78"/>
    <w:rsid w:val="00FA0934"/>
    <w:rsid w:val="00FA0F5E"/>
    <w:rsid w:val="00FA2F56"/>
    <w:rsid w:val="00FA53B9"/>
    <w:rsid w:val="00FA62D8"/>
    <w:rsid w:val="00FA7E1F"/>
    <w:rsid w:val="00FB1203"/>
    <w:rsid w:val="00FB3819"/>
    <w:rsid w:val="00FB6A03"/>
    <w:rsid w:val="00FC1BF1"/>
    <w:rsid w:val="00FC1FDC"/>
    <w:rsid w:val="00FC22AB"/>
    <w:rsid w:val="00FC6872"/>
    <w:rsid w:val="00FC7D21"/>
    <w:rsid w:val="00FD0ED1"/>
    <w:rsid w:val="00FD2AC1"/>
    <w:rsid w:val="00FD48EB"/>
    <w:rsid w:val="00FD63FE"/>
    <w:rsid w:val="00FD7A96"/>
    <w:rsid w:val="00FE206E"/>
    <w:rsid w:val="00FE52FF"/>
    <w:rsid w:val="00FE5FC4"/>
    <w:rsid w:val="00FE7CB8"/>
    <w:rsid w:val="00FF1E79"/>
    <w:rsid w:val="00FF2D00"/>
    <w:rsid w:val="00FF4EFC"/>
    <w:rsid w:val="00FF5699"/>
    <w:rsid w:val="00FF57E8"/>
    <w:rsid w:val="00FF6B30"/>
    <w:rsid w:val="00FF6BF2"/>
    <w:rsid w:val="00FF6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EFE0E"/>
  <w15:chartTrackingRefBased/>
  <w15:docId w15:val="{9E9B7CDD-DA4D-475A-8C67-A66FE408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1977"/>
    <w:rPr>
      <w:sz w:val="24"/>
      <w:szCs w:val="24"/>
    </w:rPr>
  </w:style>
  <w:style w:type="paragraph" w:styleId="Titolo1">
    <w:name w:val="heading 1"/>
    <w:basedOn w:val="Normale"/>
    <w:next w:val="Normale"/>
    <w:qFormat/>
    <w:rsid w:val="000A1977"/>
    <w:pPr>
      <w:keepNext/>
      <w:spacing w:line="360" w:lineRule="auto"/>
      <w:jc w:val="center"/>
      <w:outlineLvl w:val="0"/>
    </w:pPr>
    <w:rPr>
      <w:rFonts w:ascii="Arial" w:hAnsi="Arial" w:cs="Arial"/>
      <w:b/>
      <w:bCs/>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6511C9"/>
    <w:pPr>
      <w:jc w:val="both"/>
    </w:pPr>
    <w:rPr>
      <w:rFonts w:ascii="Verdana" w:hAnsi="Verdana"/>
    </w:rPr>
  </w:style>
  <w:style w:type="paragraph" w:styleId="Pidipagina">
    <w:name w:val="footer"/>
    <w:basedOn w:val="Normale"/>
    <w:rsid w:val="009171FB"/>
    <w:pPr>
      <w:tabs>
        <w:tab w:val="center" w:pos="4819"/>
        <w:tab w:val="right" w:pos="9638"/>
      </w:tabs>
    </w:pPr>
  </w:style>
  <w:style w:type="character" w:styleId="Numeropagina">
    <w:name w:val="page number"/>
    <w:basedOn w:val="Carpredefinitoparagrafo"/>
    <w:rsid w:val="009171FB"/>
  </w:style>
  <w:style w:type="paragraph" w:styleId="Testofumetto">
    <w:name w:val="Balloon Text"/>
    <w:basedOn w:val="Normale"/>
    <w:semiHidden/>
    <w:rsid w:val="00025229"/>
    <w:rPr>
      <w:rFonts w:ascii="Tahoma" w:hAnsi="Tahoma" w:cs="Tahoma"/>
      <w:sz w:val="16"/>
      <w:szCs w:val="16"/>
    </w:rPr>
  </w:style>
  <w:style w:type="paragraph" w:styleId="PreformattatoHTML">
    <w:name w:val="HTML Preformatted"/>
    <w:basedOn w:val="Normale"/>
    <w:link w:val="PreformattatoHTMLCarattere"/>
    <w:semiHidden/>
    <w:unhideWhenUsed/>
    <w:rsid w:val="0080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semiHidden/>
    <w:rsid w:val="00806102"/>
    <w:rPr>
      <w:rFonts w:ascii="Courier New" w:hAnsi="Courier New" w:cs="Courier New"/>
      <w:lang w:val="it-IT" w:eastAsia="it-IT" w:bidi="ar-SA"/>
    </w:rPr>
  </w:style>
  <w:style w:type="paragraph" w:styleId="Intestazione">
    <w:name w:val="header"/>
    <w:basedOn w:val="Normale"/>
    <w:rsid w:val="00EC2E79"/>
    <w:pPr>
      <w:tabs>
        <w:tab w:val="center" w:pos="4819"/>
        <w:tab w:val="right" w:pos="9638"/>
      </w:tabs>
    </w:pPr>
  </w:style>
  <w:style w:type="paragraph" w:styleId="NormaleWeb">
    <w:name w:val="Normal (Web)"/>
    <w:basedOn w:val="Normale"/>
    <w:uiPriority w:val="99"/>
    <w:rsid w:val="001165BF"/>
    <w:pPr>
      <w:spacing w:before="100" w:beforeAutospacing="1" w:after="100" w:afterAutospacing="1"/>
    </w:pPr>
  </w:style>
  <w:style w:type="character" w:customStyle="1" w:styleId="linkneltesto">
    <w:name w:val="link_nel_testo"/>
    <w:rsid w:val="00DF6321"/>
    <w:rPr>
      <w:i/>
      <w:iCs/>
    </w:rPr>
  </w:style>
  <w:style w:type="character" w:customStyle="1" w:styleId="CorpotestoCarattere">
    <w:name w:val="Corpo testo Carattere"/>
    <w:link w:val="Corpotesto"/>
    <w:rsid w:val="00B6590F"/>
    <w:rPr>
      <w:rFonts w:ascii="Verdana" w:hAnsi="Verdana"/>
      <w:sz w:val="24"/>
      <w:szCs w:val="24"/>
    </w:rPr>
  </w:style>
  <w:style w:type="character" w:styleId="Collegamentoipertestuale">
    <w:name w:val="Hyperlink"/>
    <w:rsid w:val="0053373B"/>
    <w:rPr>
      <w:color w:val="0000FF"/>
      <w:u w:val="single"/>
    </w:rPr>
  </w:style>
  <w:style w:type="paragraph" w:styleId="Corpodeltesto2">
    <w:name w:val="Body Text 2"/>
    <w:basedOn w:val="Normale"/>
    <w:link w:val="Corpodeltesto2Carattere"/>
    <w:rsid w:val="00ED53B2"/>
    <w:pPr>
      <w:spacing w:after="120" w:line="480" w:lineRule="auto"/>
    </w:pPr>
  </w:style>
  <w:style w:type="character" w:customStyle="1" w:styleId="Corpodeltesto2Carattere">
    <w:name w:val="Corpo del testo 2 Carattere"/>
    <w:link w:val="Corpodeltesto2"/>
    <w:rsid w:val="00ED53B2"/>
    <w:rPr>
      <w:sz w:val="24"/>
      <w:szCs w:val="24"/>
    </w:rPr>
  </w:style>
  <w:style w:type="paragraph" w:customStyle="1" w:styleId="msonormalcxspultimo">
    <w:name w:val="msonormalcxspultimo"/>
    <w:basedOn w:val="Normale"/>
    <w:rsid w:val="000E29D0"/>
    <w:pPr>
      <w:spacing w:before="100" w:beforeAutospacing="1" w:after="100" w:afterAutospacing="1"/>
    </w:pPr>
  </w:style>
  <w:style w:type="paragraph" w:customStyle="1" w:styleId="msonormalcxspmediocxspprimo">
    <w:name w:val="msonormalcxspmediocxspprimo"/>
    <w:basedOn w:val="Normale"/>
    <w:rsid w:val="000E29D0"/>
    <w:pPr>
      <w:spacing w:before="100" w:beforeAutospacing="1" w:after="100" w:afterAutospacing="1"/>
    </w:pPr>
  </w:style>
  <w:style w:type="paragraph" w:customStyle="1" w:styleId="msonormalcxspmediocxspultimo">
    <w:name w:val="msonormalcxspmediocxspultimo"/>
    <w:basedOn w:val="Normale"/>
    <w:rsid w:val="000E29D0"/>
    <w:pPr>
      <w:spacing w:before="100" w:beforeAutospacing="1" w:after="100" w:afterAutospacing="1"/>
    </w:pPr>
  </w:style>
  <w:style w:type="paragraph" w:customStyle="1" w:styleId="msonormalcxspmediocxspmedio">
    <w:name w:val="msonormalcxspmediocxspmedio"/>
    <w:basedOn w:val="Normale"/>
    <w:rsid w:val="000E29D0"/>
    <w:pPr>
      <w:spacing w:before="100" w:beforeAutospacing="1" w:after="100" w:afterAutospacing="1"/>
    </w:pPr>
  </w:style>
  <w:style w:type="paragraph" w:customStyle="1" w:styleId="Style1">
    <w:name w:val="Style 1"/>
    <w:basedOn w:val="Normale"/>
    <w:uiPriority w:val="99"/>
    <w:rsid w:val="00D75136"/>
    <w:pPr>
      <w:widowControl w:val="0"/>
      <w:autoSpaceDE w:val="0"/>
      <w:autoSpaceDN w:val="0"/>
      <w:adjustRightInd w:val="0"/>
    </w:pPr>
    <w:rPr>
      <w:sz w:val="20"/>
      <w:szCs w:val="20"/>
    </w:rPr>
  </w:style>
  <w:style w:type="character" w:customStyle="1" w:styleId="CharacterStyle1">
    <w:name w:val="Character Style 1"/>
    <w:uiPriority w:val="99"/>
    <w:rsid w:val="00D75136"/>
    <w:rPr>
      <w:sz w:val="20"/>
    </w:rPr>
  </w:style>
  <w:style w:type="paragraph" w:styleId="Corpodeltesto3">
    <w:name w:val="Body Text 3"/>
    <w:basedOn w:val="Normale"/>
    <w:link w:val="Corpodeltesto3Carattere"/>
    <w:rsid w:val="00091692"/>
    <w:pPr>
      <w:spacing w:after="120"/>
    </w:pPr>
    <w:rPr>
      <w:sz w:val="16"/>
      <w:szCs w:val="16"/>
    </w:rPr>
  </w:style>
  <w:style w:type="character" w:customStyle="1" w:styleId="Corpodeltesto3Carattere">
    <w:name w:val="Corpo del testo 3 Carattere"/>
    <w:link w:val="Corpodeltesto3"/>
    <w:rsid w:val="00091692"/>
    <w:rPr>
      <w:sz w:val="16"/>
      <w:szCs w:val="16"/>
    </w:rPr>
  </w:style>
  <w:style w:type="paragraph" w:customStyle="1" w:styleId="provvr0">
    <w:name w:val="provv_r0"/>
    <w:basedOn w:val="Normale"/>
    <w:rsid w:val="00ED6541"/>
    <w:pPr>
      <w:spacing w:before="100" w:beforeAutospacing="1" w:after="100" w:afterAutospacing="1"/>
      <w:jc w:val="both"/>
    </w:pPr>
  </w:style>
  <w:style w:type="paragraph" w:customStyle="1" w:styleId="Style4">
    <w:name w:val="Style 4"/>
    <w:basedOn w:val="Normale"/>
    <w:uiPriority w:val="99"/>
    <w:rsid w:val="00E1245A"/>
    <w:pPr>
      <w:widowControl w:val="0"/>
      <w:autoSpaceDE w:val="0"/>
      <w:autoSpaceDN w:val="0"/>
      <w:adjustRightInd w:val="0"/>
    </w:pPr>
    <w:rPr>
      <w:sz w:val="20"/>
      <w:szCs w:val="20"/>
    </w:rPr>
  </w:style>
  <w:style w:type="character" w:customStyle="1" w:styleId="CharacterStyle4">
    <w:name w:val="Character Style 4"/>
    <w:uiPriority w:val="99"/>
    <w:rsid w:val="00E1245A"/>
    <w:rPr>
      <w:sz w:val="20"/>
      <w:szCs w:val="20"/>
    </w:rPr>
  </w:style>
  <w:style w:type="paragraph" w:customStyle="1" w:styleId="Style5">
    <w:name w:val="Style 5"/>
    <w:basedOn w:val="Normale"/>
    <w:uiPriority w:val="99"/>
    <w:rsid w:val="001F3A34"/>
    <w:pPr>
      <w:widowControl w:val="0"/>
      <w:autoSpaceDE w:val="0"/>
      <w:autoSpaceDN w:val="0"/>
      <w:ind w:left="72" w:right="72" w:firstLine="288"/>
      <w:jc w:val="both"/>
    </w:pPr>
    <w:rPr>
      <w:sz w:val="25"/>
      <w:szCs w:val="25"/>
    </w:rPr>
  </w:style>
  <w:style w:type="character" w:customStyle="1" w:styleId="CharacterStyle2">
    <w:name w:val="Character Style 2"/>
    <w:uiPriority w:val="99"/>
    <w:rsid w:val="001F3A34"/>
    <w:rPr>
      <w:sz w:val="25"/>
      <w:szCs w:val="25"/>
    </w:rPr>
  </w:style>
  <w:style w:type="character" w:styleId="Enfasigrassetto">
    <w:name w:val="Strong"/>
    <w:uiPriority w:val="22"/>
    <w:qFormat/>
    <w:rsid w:val="00F62571"/>
    <w:rPr>
      <w:b/>
      <w:bCs/>
    </w:rPr>
  </w:style>
  <w:style w:type="paragraph" w:customStyle="1" w:styleId="Style2">
    <w:name w:val="Style 2"/>
    <w:basedOn w:val="Normale"/>
    <w:uiPriority w:val="99"/>
    <w:rsid w:val="00CC742B"/>
    <w:pPr>
      <w:widowControl w:val="0"/>
      <w:autoSpaceDE w:val="0"/>
      <w:autoSpaceDN w:val="0"/>
      <w:spacing w:before="144"/>
      <w:ind w:left="216" w:right="216"/>
      <w:jc w:val="both"/>
    </w:pPr>
    <w:rPr>
      <w:sz w:val="23"/>
      <w:szCs w:val="23"/>
    </w:rPr>
  </w:style>
  <w:style w:type="character" w:styleId="Enfasicorsivo">
    <w:name w:val="Emphasis"/>
    <w:uiPriority w:val="20"/>
    <w:qFormat/>
    <w:rsid w:val="0052494F"/>
    <w:rPr>
      <w:i/>
      <w:iCs/>
    </w:rPr>
  </w:style>
  <w:style w:type="paragraph" w:styleId="Paragrafoelenco">
    <w:name w:val="List Paragraph"/>
    <w:basedOn w:val="Normale"/>
    <w:uiPriority w:val="99"/>
    <w:qFormat/>
    <w:rsid w:val="00FE206E"/>
    <w:pPr>
      <w:ind w:left="720" w:firstLine="567"/>
      <w:contextualSpacing/>
    </w:pPr>
    <w:rPr>
      <w:rFonts w:eastAsia="MS Mincho"/>
    </w:rPr>
  </w:style>
  <w:style w:type="character" w:customStyle="1" w:styleId="apple-converted-space">
    <w:name w:val="apple-converted-space"/>
    <w:basedOn w:val="Carpredefinitoparagrafo"/>
    <w:rsid w:val="00444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6259">
      <w:bodyDiv w:val="1"/>
      <w:marLeft w:val="0"/>
      <w:marRight w:val="0"/>
      <w:marTop w:val="0"/>
      <w:marBottom w:val="0"/>
      <w:divBdr>
        <w:top w:val="none" w:sz="0" w:space="0" w:color="auto"/>
        <w:left w:val="none" w:sz="0" w:space="0" w:color="auto"/>
        <w:bottom w:val="none" w:sz="0" w:space="0" w:color="auto"/>
        <w:right w:val="none" w:sz="0" w:space="0" w:color="auto"/>
      </w:divBdr>
      <w:divsChild>
        <w:div w:id="1938831664">
          <w:marLeft w:val="0"/>
          <w:marRight w:val="0"/>
          <w:marTop w:val="0"/>
          <w:marBottom w:val="0"/>
          <w:divBdr>
            <w:top w:val="none" w:sz="0" w:space="0" w:color="auto"/>
            <w:left w:val="none" w:sz="0" w:space="0" w:color="auto"/>
            <w:bottom w:val="none" w:sz="0" w:space="0" w:color="auto"/>
            <w:right w:val="none" w:sz="0" w:space="0" w:color="auto"/>
          </w:divBdr>
          <w:divsChild>
            <w:div w:id="1077703724">
              <w:marLeft w:val="0"/>
              <w:marRight w:val="0"/>
              <w:marTop w:val="0"/>
              <w:marBottom w:val="0"/>
              <w:divBdr>
                <w:top w:val="none" w:sz="0" w:space="0" w:color="auto"/>
                <w:left w:val="none" w:sz="0" w:space="0" w:color="auto"/>
                <w:bottom w:val="none" w:sz="0" w:space="0" w:color="auto"/>
                <w:right w:val="none" w:sz="0" w:space="0" w:color="auto"/>
              </w:divBdr>
              <w:divsChild>
                <w:div w:id="294721716">
                  <w:marLeft w:val="0"/>
                  <w:marRight w:val="0"/>
                  <w:marTop w:val="0"/>
                  <w:marBottom w:val="0"/>
                  <w:divBdr>
                    <w:top w:val="none" w:sz="0" w:space="0" w:color="auto"/>
                    <w:left w:val="none" w:sz="0" w:space="0" w:color="auto"/>
                    <w:bottom w:val="none" w:sz="0" w:space="0" w:color="auto"/>
                    <w:right w:val="none" w:sz="0" w:space="0" w:color="auto"/>
                  </w:divBdr>
                  <w:divsChild>
                    <w:div w:id="1376613675">
                      <w:marLeft w:val="0"/>
                      <w:marRight w:val="0"/>
                      <w:marTop w:val="0"/>
                      <w:marBottom w:val="0"/>
                      <w:divBdr>
                        <w:top w:val="none" w:sz="0" w:space="0" w:color="auto"/>
                        <w:left w:val="none" w:sz="0" w:space="0" w:color="auto"/>
                        <w:bottom w:val="none" w:sz="0" w:space="0" w:color="auto"/>
                        <w:right w:val="none" w:sz="0" w:space="0" w:color="auto"/>
                      </w:divBdr>
                      <w:divsChild>
                        <w:div w:id="17920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4489">
      <w:bodyDiv w:val="1"/>
      <w:marLeft w:val="0"/>
      <w:marRight w:val="0"/>
      <w:marTop w:val="0"/>
      <w:marBottom w:val="0"/>
      <w:divBdr>
        <w:top w:val="none" w:sz="0" w:space="0" w:color="auto"/>
        <w:left w:val="none" w:sz="0" w:space="0" w:color="auto"/>
        <w:bottom w:val="none" w:sz="0" w:space="0" w:color="auto"/>
        <w:right w:val="none" w:sz="0" w:space="0" w:color="auto"/>
      </w:divBdr>
      <w:divsChild>
        <w:div w:id="2050639800">
          <w:marLeft w:val="0"/>
          <w:marRight w:val="0"/>
          <w:marTop w:val="0"/>
          <w:marBottom w:val="0"/>
          <w:divBdr>
            <w:top w:val="none" w:sz="0" w:space="0" w:color="auto"/>
            <w:left w:val="none" w:sz="0" w:space="0" w:color="auto"/>
            <w:bottom w:val="none" w:sz="0" w:space="0" w:color="auto"/>
            <w:right w:val="none" w:sz="0" w:space="0" w:color="auto"/>
          </w:divBdr>
          <w:divsChild>
            <w:div w:id="1347906577">
              <w:marLeft w:val="0"/>
              <w:marRight w:val="0"/>
              <w:marTop w:val="0"/>
              <w:marBottom w:val="0"/>
              <w:divBdr>
                <w:top w:val="none" w:sz="0" w:space="0" w:color="auto"/>
                <w:left w:val="none" w:sz="0" w:space="0" w:color="auto"/>
                <w:bottom w:val="none" w:sz="0" w:space="0" w:color="auto"/>
                <w:right w:val="none" w:sz="0" w:space="0" w:color="auto"/>
              </w:divBdr>
              <w:divsChild>
                <w:div w:id="16103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3317">
      <w:bodyDiv w:val="1"/>
      <w:marLeft w:val="0"/>
      <w:marRight w:val="0"/>
      <w:marTop w:val="0"/>
      <w:marBottom w:val="0"/>
      <w:divBdr>
        <w:top w:val="none" w:sz="0" w:space="0" w:color="auto"/>
        <w:left w:val="none" w:sz="0" w:space="0" w:color="auto"/>
        <w:bottom w:val="none" w:sz="0" w:space="0" w:color="auto"/>
        <w:right w:val="none" w:sz="0" w:space="0" w:color="auto"/>
      </w:divBdr>
    </w:div>
    <w:div w:id="340939479">
      <w:bodyDiv w:val="1"/>
      <w:marLeft w:val="0"/>
      <w:marRight w:val="0"/>
      <w:marTop w:val="0"/>
      <w:marBottom w:val="0"/>
      <w:divBdr>
        <w:top w:val="none" w:sz="0" w:space="0" w:color="auto"/>
        <w:left w:val="none" w:sz="0" w:space="0" w:color="auto"/>
        <w:bottom w:val="none" w:sz="0" w:space="0" w:color="auto"/>
        <w:right w:val="none" w:sz="0" w:space="0" w:color="auto"/>
      </w:divBdr>
    </w:div>
    <w:div w:id="477188169">
      <w:bodyDiv w:val="1"/>
      <w:marLeft w:val="0"/>
      <w:marRight w:val="0"/>
      <w:marTop w:val="0"/>
      <w:marBottom w:val="0"/>
      <w:divBdr>
        <w:top w:val="none" w:sz="0" w:space="0" w:color="auto"/>
        <w:left w:val="none" w:sz="0" w:space="0" w:color="auto"/>
        <w:bottom w:val="none" w:sz="0" w:space="0" w:color="auto"/>
        <w:right w:val="none" w:sz="0" w:space="0" w:color="auto"/>
      </w:divBdr>
      <w:divsChild>
        <w:div w:id="442843902">
          <w:marLeft w:val="0"/>
          <w:marRight w:val="0"/>
          <w:marTop w:val="0"/>
          <w:marBottom w:val="0"/>
          <w:divBdr>
            <w:top w:val="none" w:sz="0" w:space="0" w:color="auto"/>
            <w:left w:val="none" w:sz="0" w:space="0" w:color="auto"/>
            <w:bottom w:val="none" w:sz="0" w:space="0" w:color="auto"/>
            <w:right w:val="none" w:sz="0" w:space="0" w:color="auto"/>
          </w:divBdr>
          <w:divsChild>
            <w:div w:id="10043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4356">
      <w:bodyDiv w:val="1"/>
      <w:marLeft w:val="0"/>
      <w:marRight w:val="0"/>
      <w:marTop w:val="0"/>
      <w:marBottom w:val="0"/>
      <w:divBdr>
        <w:top w:val="none" w:sz="0" w:space="0" w:color="auto"/>
        <w:left w:val="none" w:sz="0" w:space="0" w:color="auto"/>
        <w:bottom w:val="none" w:sz="0" w:space="0" w:color="auto"/>
        <w:right w:val="none" w:sz="0" w:space="0" w:color="auto"/>
      </w:divBdr>
    </w:div>
    <w:div w:id="532811323">
      <w:bodyDiv w:val="1"/>
      <w:marLeft w:val="0"/>
      <w:marRight w:val="0"/>
      <w:marTop w:val="0"/>
      <w:marBottom w:val="0"/>
      <w:divBdr>
        <w:top w:val="none" w:sz="0" w:space="0" w:color="auto"/>
        <w:left w:val="none" w:sz="0" w:space="0" w:color="auto"/>
        <w:bottom w:val="none" w:sz="0" w:space="0" w:color="auto"/>
        <w:right w:val="none" w:sz="0" w:space="0" w:color="auto"/>
      </w:divBdr>
    </w:div>
    <w:div w:id="581371860">
      <w:bodyDiv w:val="1"/>
      <w:marLeft w:val="0"/>
      <w:marRight w:val="0"/>
      <w:marTop w:val="0"/>
      <w:marBottom w:val="0"/>
      <w:divBdr>
        <w:top w:val="none" w:sz="0" w:space="0" w:color="auto"/>
        <w:left w:val="none" w:sz="0" w:space="0" w:color="auto"/>
        <w:bottom w:val="none" w:sz="0" w:space="0" w:color="auto"/>
        <w:right w:val="none" w:sz="0" w:space="0" w:color="auto"/>
      </w:divBdr>
    </w:div>
    <w:div w:id="635181110">
      <w:bodyDiv w:val="1"/>
      <w:marLeft w:val="0"/>
      <w:marRight w:val="0"/>
      <w:marTop w:val="0"/>
      <w:marBottom w:val="0"/>
      <w:divBdr>
        <w:top w:val="none" w:sz="0" w:space="0" w:color="auto"/>
        <w:left w:val="none" w:sz="0" w:space="0" w:color="auto"/>
        <w:bottom w:val="none" w:sz="0" w:space="0" w:color="auto"/>
        <w:right w:val="none" w:sz="0" w:space="0" w:color="auto"/>
      </w:divBdr>
    </w:div>
    <w:div w:id="686830239">
      <w:bodyDiv w:val="1"/>
      <w:marLeft w:val="0"/>
      <w:marRight w:val="0"/>
      <w:marTop w:val="0"/>
      <w:marBottom w:val="0"/>
      <w:divBdr>
        <w:top w:val="none" w:sz="0" w:space="0" w:color="auto"/>
        <w:left w:val="none" w:sz="0" w:space="0" w:color="auto"/>
        <w:bottom w:val="none" w:sz="0" w:space="0" w:color="auto"/>
        <w:right w:val="none" w:sz="0" w:space="0" w:color="auto"/>
      </w:divBdr>
    </w:div>
    <w:div w:id="687950470">
      <w:bodyDiv w:val="1"/>
      <w:marLeft w:val="0"/>
      <w:marRight w:val="0"/>
      <w:marTop w:val="0"/>
      <w:marBottom w:val="0"/>
      <w:divBdr>
        <w:top w:val="none" w:sz="0" w:space="0" w:color="auto"/>
        <w:left w:val="none" w:sz="0" w:space="0" w:color="auto"/>
        <w:bottom w:val="none" w:sz="0" w:space="0" w:color="auto"/>
        <w:right w:val="none" w:sz="0" w:space="0" w:color="auto"/>
      </w:divBdr>
    </w:div>
    <w:div w:id="753279851">
      <w:bodyDiv w:val="1"/>
      <w:marLeft w:val="0"/>
      <w:marRight w:val="0"/>
      <w:marTop w:val="0"/>
      <w:marBottom w:val="0"/>
      <w:divBdr>
        <w:top w:val="none" w:sz="0" w:space="0" w:color="auto"/>
        <w:left w:val="none" w:sz="0" w:space="0" w:color="auto"/>
        <w:bottom w:val="none" w:sz="0" w:space="0" w:color="auto"/>
        <w:right w:val="none" w:sz="0" w:space="0" w:color="auto"/>
      </w:divBdr>
    </w:div>
    <w:div w:id="870845510">
      <w:bodyDiv w:val="1"/>
      <w:marLeft w:val="0"/>
      <w:marRight w:val="0"/>
      <w:marTop w:val="0"/>
      <w:marBottom w:val="0"/>
      <w:divBdr>
        <w:top w:val="none" w:sz="0" w:space="0" w:color="auto"/>
        <w:left w:val="none" w:sz="0" w:space="0" w:color="auto"/>
        <w:bottom w:val="none" w:sz="0" w:space="0" w:color="auto"/>
        <w:right w:val="none" w:sz="0" w:space="0" w:color="auto"/>
      </w:divBdr>
    </w:div>
    <w:div w:id="884829577">
      <w:bodyDiv w:val="1"/>
      <w:marLeft w:val="0"/>
      <w:marRight w:val="0"/>
      <w:marTop w:val="0"/>
      <w:marBottom w:val="0"/>
      <w:divBdr>
        <w:top w:val="none" w:sz="0" w:space="0" w:color="auto"/>
        <w:left w:val="none" w:sz="0" w:space="0" w:color="auto"/>
        <w:bottom w:val="none" w:sz="0" w:space="0" w:color="auto"/>
        <w:right w:val="none" w:sz="0" w:space="0" w:color="auto"/>
      </w:divBdr>
    </w:div>
    <w:div w:id="967661009">
      <w:bodyDiv w:val="1"/>
      <w:marLeft w:val="0"/>
      <w:marRight w:val="0"/>
      <w:marTop w:val="0"/>
      <w:marBottom w:val="0"/>
      <w:divBdr>
        <w:top w:val="none" w:sz="0" w:space="0" w:color="auto"/>
        <w:left w:val="none" w:sz="0" w:space="0" w:color="auto"/>
        <w:bottom w:val="none" w:sz="0" w:space="0" w:color="auto"/>
        <w:right w:val="none" w:sz="0" w:space="0" w:color="auto"/>
      </w:divBdr>
    </w:div>
    <w:div w:id="997614361">
      <w:bodyDiv w:val="1"/>
      <w:marLeft w:val="0"/>
      <w:marRight w:val="0"/>
      <w:marTop w:val="0"/>
      <w:marBottom w:val="0"/>
      <w:divBdr>
        <w:top w:val="none" w:sz="0" w:space="0" w:color="auto"/>
        <w:left w:val="none" w:sz="0" w:space="0" w:color="auto"/>
        <w:bottom w:val="none" w:sz="0" w:space="0" w:color="auto"/>
        <w:right w:val="none" w:sz="0" w:space="0" w:color="auto"/>
      </w:divBdr>
    </w:div>
    <w:div w:id="1059476312">
      <w:bodyDiv w:val="1"/>
      <w:marLeft w:val="0"/>
      <w:marRight w:val="0"/>
      <w:marTop w:val="0"/>
      <w:marBottom w:val="0"/>
      <w:divBdr>
        <w:top w:val="none" w:sz="0" w:space="0" w:color="auto"/>
        <w:left w:val="none" w:sz="0" w:space="0" w:color="auto"/>
        <w:bottom w:val="none" w:sz="0" w:space="0" w:color="auto"/>
        <w:right w:val="none" w:sz="0" w:space="0" w:color="auto"/>
      </w:divBdr>
      <w:divsChild>
        <w:div w:id="1632175429">
          <w:marLeft w:val="0"/>
          <w:marRight w:val="0"/>
          <w:marTop w:val="0"/>
          <w:marBottom w:val="0"/>
          <w:divBdr>
            <w:top w:val="none" w:sz="0" w:space="0" w:color="auto"/>
            <w:left w:val="none" w:sz="0" w:space="0" w:color="auto"/>
            <w:bottom w:val="none" w:sz="0" w:space="0" w:color="auto"/>
            <w:right w:val="none" w:sz="0" w:space="0" w:color="auto"/>
          </w:divBdr>
          <w:divsChild>
            <w:div w:id="479155835">
              <w:marLeft w:val="0"/>
              <w:marRight w:val="0"/>
              <w:marTop w:val="0"/>
              <w:marBottom w:val="0"/>
              <w:divBdr>
                <w:top w:val="none" w:sz="0" w:space="0" w:color="auto"/>
                <w:left w:val="none" w:sz="0" w:space="0" w:color="auto"/>
                <w:bottom w:val="none" w:sz="0" w:space="0" w:color="auto"/>
                <w:right w:val="none" w:sz="0" w:space="0" w:color="auto"/>
              </w:divBdr>
              <w:divsChild>
                <w:div w:id="19535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2585">
      <w:bodyDiv w:val="1"/>
      <w:marLeft w:val="0"/>
      <w:marRight w:val="0"/>
      <w:marTop w:val="0"/>
      <w:marBottom w:val="0"/>
      <w:divBdr>
        <w:top w:val="none" w:sz="0" w:space="0" w:color="auto"/>
        <w:left w:val="none" w:sz="0" w:space="0" w:color="auto"/>
        <w:bottom w:val="none" w:sz="0" w:space="0" w:color="auto"/>
        <w:right w:val="none" w:sz="0" w:space="0" w:color="auto"/>
      </w:divBdr>
    </w:div>
    <w:div w:id="1119757704">
      <w:bodyDiv w:val="1"/>
      <w:marLeft w:val="0"/>
      <w:marRight w:val="0"/>
      <w:marTop w:val="0"/>
      <w:marBottom w:val="0"/>
      <w:divBdr>
        <w:top w:val="none" w:sz="0" w:space="0" w:color="auto"/>
        <w:left w:val="none" w:sz="0" w:space="0" w:color="auto"/>
        <w:bottom w:val="none" w:sz="0" w:space="0" w:color="auto"/>
        <w:right w:val="none" w:sz="0" w:space="0" w:color="auto"/>
      </w:divBdr>
    </w:div>
    <w:div w:id="1346202226">
      <w:bodyDiv w:val="1"/>
      <w:marLeft w:val="0"/>
      <w:marRight w:val="0"/>
      <w:marTop w:val="0"/>
      <w:marBottom w:val="0"/>
      <w:divBdr>
        <w:top w:val="none" w:sz="0" w:space="0" w:color="auto"/>
        <w:left w:val="none" w:sz="0" w:space="0" w:color="auto"/>
        <w:bottom w:val="none" w:sz="0" w:space="0" w:color="auto"/>
        <w:right w:val="none" w:sz="0" w:space="0" w:color="auto"/>
      </w:divBdr>
    </w:div>
    <w:div w:id="1367173012">
      <w:bodyDiv w:val="1"/>
      <w:marLeft w:val="0"/>
      <w:marRight w:val="0"/>
      <w:marTop w:val="0"/>
      <w:marBottom w:val="0"/>
      <w:divBdr>
        <w:top w:val="none" w:sz="0" w:space="0" w:color="auto"/>
        <w:left w:val="none" w:sz="0" w:space="0" w:color="auto"/>
        <w:bottom w:val="none" w:sz="0" w:space="0" w:color="auto"/>
        <w:right w:val="none" w:sz="0" w:space="0" w:color="auto"/>
      </w:divBdr>
    </w:div>
    <w:div w:id="1439762744">
      <w:bodyDiv w:val="1"/>
      <w:marLeft w:val="0"/>
      <w:marRight w:val="0"/>
      <w:marTop w:val="0"/>
      <w:marBottom w:val="0"/>
      <w:divBdr>
        <w:top w:val="none" w:sz="0" w:space="0" w:color="auto"/>
        <w:left w:val="none" w:sz="0" w:space="0" w:color="auto"/>
        <w:bottom w:val="none" w:sz="0" w:space="0" w:color="auto"/>
        <w:right w:val="none" w:sz="0" w:space="0" w:color="auto"/>
      </w:divBdr>
    </w:div>
    <w:div w:id="1453549940">
      <w:bodyDiv w:val="1"/>
      <w:marLeft w:val="0"/>
      <w:marRight w:val="0"/>
      <w:marTop w:val="0"/>
      <w:marBottom w:val="0"/>
      <w:divBdr>
        <w:top w:val="none" w:sz="0" w:space="0" w:color="auto"/>
        <w:left w:val="none" w:sz="0" w:space="0" w:color="auto"/>
        <w:bottom w:val="none" w:sz="0" w:space="0" w:color="auto"/>
        <w:right w:val="none" w:sz="0" w:space="0" w:color="auto"/>
      </w:divBdr>
    </w:div>
    <w:div w:id="1496457672">
      <w:bodyDiv w:val="1"/>
      <w:marLeft w:val="0"/>
      <w:marRight w:val="0"/>
      <w:marTop w:val="0"/>
      <w:marBottom w:val="0"/>
      <w:divBdr>
        <w:top w:val="none" w:sz="0" w:space="0" w:color="auto"/>
        <w:left w:val="none" w:sz="0" w:space="0" w:color="auto"/>
        <w:bottom w:val="none" w:sz="0" w:space="0" w:color="auto"/>
        <w:right w:val="none" w:sz="0" w:space="0" w:color="auto"/>
      </w:divBdr>
    </w:div>
    <w:div w:id="1526750675">
      <w:bodyDiv w:val="1"/>
      <w:marLeft w:val="0"/>
      <w:marRight w:val="0"/>
      <w:marTop w:val="0"/>
      <w:marBottom w:val="0"/>
      <w:divBdr>
        <w:top w:val="none" w:sz="0" w:space="0" w:color="auto"/>
        <w:left w:val="none" w:sz="0" w:space="0" w:color="auto"/>
        <w:bottom w:val="none" w:sz="0" w:space="0" w:color="auto"/>
        <w:right w:val="none" w:sz="0" w:space="0" w:color="auto"/>
      </w:divBdr>
    </w:div>
    <w:div w:id="1551575317">
      <w:bodyDiv w:val="1"/>
      <w:marLeft w:val="0"/>
      <w:marRight w:val="0"/>
      <w:marTop w:val="0"/>
      <w:marBottom w:val="0"/>
      <w:divBdr>
        <w:top w:val="none" w:sz="0" w:space="0" w:color="auto"/>
        <w:left w:val="none" w:sz="0" w:space="0" w:color="auto"/>
        <w:bottom w:val="none" w:sz="0" w:space="0" w:color="auto"/>
        <w:right w:val="none" w:sz="0" w:space="0" w:color="auto"/>
      </w:divBdr>
      <w:divsChild>
        <w:div w:id="1020356527">
          <w:marLeft w:val="0"/>
          <w:marRight w:val="0"/>
          <w:marTop w:val="0"/>
          <w:marBottom w:val="0"/>
          <w:divBdr>
            <w:top w:val="none" w:sz="0" w:space="0" w:color="auto"/>
            <w:left w:val="none" w:sz="0" w:space="0" w:color="auto"/>
            <w:bottom w:val="none" w:sz="0" w:space="0" w:color="auto"/>
            <w:right w:val="none" w:sz="0" w:space="0" w:color="auto"/>
          </w:divBdr>
          <w:divsChild>
            <w:div w:id="443110194">
              <w:marLeft w:val="0"/>
              <w:marRight w:val="0"/>
              <w:marTop w:val="0"/>
              <w:marBottom w:val="0"/>
              <w:divBdr>
                <w:top w:val="none" w:sz="0" w:space="0" w:color="auto"/>
                <w:left w:val="none" w:sz="0" w:space="0" w:color="auto"/>
                <w:bottom w:val="none" w:sz="0" w:space="0" w:color="auto"/>
                <w:right w:val="none" w:sz="0" w:space="0" w:color="auto"/>
              </w:divBdr>
              <w:divsChild>
                <w:div w:id="1280725328">
                  <w:marLeft w:val="0"/>
                  <w:marRight w:val="0"/>
                  <w:marTop w:val="0"/>
                  <w:marBottom w:val="0"/>
                  <w:divBdr>
                    <w:top w:val="none" w:sz="0" w:space="0" w:color="auto"/>
                    <w:left w:val="none" w:sz="0" w:space="0" w:color="auto"/>
                    <w:bottom w:val="none" w:sz="0" w:space="0" w:color="auto"/>
                    <w:right w:val="none" w:sz="0" w:space="0" w:color="auto"/>
                  </w:divBdr>
                  <w:divsChild>
                    <w:div w:id="1546939929">
                      <w:marLeft w:val="0"/>
                      <w:marRight w:val="0"/>
                      <w:marTop w:val="0"/>
                      <w:marBottom w:val="0"/>
                      <w:divBdr>
                        <w:top w:val="none" w:sz="0" w:space="0" w:color="auto"/>
                        <w:left w:val="none" w:sz="0" w:space="0" w:color="auto"/>
                        <w:bottom w:val="none" w:sz="0" w:space="0" w:color="auto"/>
                        <w:right w:val="none" w:sz="0" w:space="0" w:color="auto"/>
                      </w:divBdr>
                      <w:divsChild>
                        <w:div w:id="1513448257">
                          <w:marLeft w:val="0"/>
                          <w:marRight w:val="0"/>
                          <w:marTop w:val="0"/>
                          <w:marBottom w:val="0"/>
                          <w:divBdr>
                            <w:top w:val="none" w:sz="0" w:space="0" w:color="auto"/>
                            <w:left w:val="none" w:sz="0" w:space="0" w:color="auto"/>
                            <w:bottom w:val="none" w:sz="0" w:space="0" w:color="auto"/>
                            <w:right w:val="none" w:sz="0" w:space="0" w:color="auto"/>
                          </w:divBdr>
                          <w:divsChild>
                            <w:div w:id="119152121">
                              <w:marLeft w:val="0"/>
                              <w:marRight w:val="0"/>
                              <w:marTop w:val="0"/>
                              <w:marBottom w:val="0"/>
                              <w:divBdr>
                                <w:top w:val="none" w:sz="0" w:space="0" w:color="auto"/>
                                <w:left w:val="none" w:sz="0" w:space="0" w:color="auto"/>
                                <w:bottom w:val="none" w:sz="0" w:space="0" w:color="auto"/>
                                <w:right w:val="none" w:sz="0" w:space="0" w:color="auto"/>
                              </w:divBdr>
                              <w:divsChild>
                                <w:div w:id="1876305199">
                                  <w:marLeft w:val="0"/>
                                  <w:marRight w:val="0"/>
                                  <w:marTop w:val="0"/>
                                  <w:marBottom w:val="0"/>
                                  <w:divBdr>
                                    <w:top w:val="none" w:sz="0" w:space="0" w:color="auto"/>
                                    <w:left w:val="none" w:sz="0" w:space="0" w:color="auto"/>
                                    <w:bottom w:val="none" w:sz="0" w:space="0" w:color="auto"/>
                                    <w:right w:val="none" w:sz="0" w:space="0" w:color="auto"/>
                                  </w:divBdr>
                                  <w:divsChild>
                                    <w:div w:id="1729381657">
                                      <w:marLeft w:val="0"/>
                                      <w:marRight w:val="0"/>
                                      <w:marTop w:val="0"/>
                                      <w:marBottom w:val="0"/>
                                      <w:divBdr>
                                        <w:top w:val="none" w:sz="0" w:space="0" w:color="auto"/>
                                        <w:left w:val="none" w:sz="0" w:space="0" w:color="auto"/>
                                        <w:bottom w:val="none" w:sz="0" w:space="0" w:color="auto"/>
                                        <w:right w:val="none" w:sz="0" w:space="0" w:color="auto"/>
                                      </w:divBdr>
                                      <w:divsChild>
                                        <w:div w:id="561138806">
                                          <w:marLeft w:val="0"/>
                                          <w:marRight w:val="0"/>
                                          <w:marTop w:val="0"/>
                                          <w:marBottom w:val="0"/>
                                          <w:divBdr>
                                            <w:top w:val="none" w:sz="0" w:space="0" w:color="auto"/>
                                            <w:left w:val="none" w:sz="0" w:space="0" w:color="auto"/>
                                            <w:bottom w:val="none" w:sz="0" w:space="0" w:color="auto"/>
                                            <w:right w:val="none" w:sz="0" w:space="0" w:color="auto"/>
                                          </w:divBdr>
                                          <w:divsChild>
                                            <w:div w:id="19642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310640">
      <w:bodyDiv w:val="1"/>
      <w:marLeft w:val="0"/>
      <w:marRight w:val="0"/>
      <w:marTop w:val="0"/>
      <w:marBottom w:val="0"/>
      <w:divBdr>
        <w:top w:val="none" w:sz="0" w:space="0" w:color="auto"/>
        <w:left w:val="none" w:sz="0" w:space="0" w:color="auto"/>
        <w:bottom w:val="none" w:sz="0" w:space="0" w:color="auto"/>
        <w:right w:val="none" w:sz="0" w:space="0" w:color="auto"/>
      </w:divBdr>
    </w:div>
    <w:div w:id="1635793940">
      <w:bodyDiv w:val="1"/>
      <w:marLeft w:val="0"/>
      <w:marRight w:val="0"/>
      <w:marTop w:val="0"/>
      <w:marBottom w:val="0"/>
      <w:divBdr>
        <w:top w:val="none" w:sz="0" w:space="0" w:color="auto"/>
        <w:left w:val="none" w:sz="0" w:space="0" w:color="auto"/>
        <w:bottom w:val="none" w:sz="0" w:space="0" w:color="auto"/>
        <w:right w:val="none" w:sz="0" w:space="0" w:color="auto"/>
      </w:divBdr>
    </w:div>
    <w:div w:id="2049915185">
      <w:bodyDiv w:val="1"/>
      <w:marLeft w:val="0"/>
      <w:marRight w:val="0"/>
      <w:marTop w:val="0"/>
      <w:marBottom w:val="0"/>
      <w:divBdr>
        <w:top w:val="none" w:sz="0" w:space="0" w:color="auto"/>
        <w:left w:val="none" w:sz="0" w:space="0" w:color="auto"/>
        <w:bottom w:val="none" w:sz="0" w:space="0" w:color="auto"/>
        <w:right w:val="none" w:sz="0" w:space="0" w:color="auto"/>
      </w:divBdr>
    </w:div>
    <w:div w:id="20637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6334-38C0-49C3-A8FD-5BB3FF6B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5187</Words>
  <Characters>29568</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cdc</Company>
  <LinksUpToDate>false</LinksUpToDate>
  <CharactersWithSpaces>34686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ascudieri</dc:creator>
  <cp:keywords/>
  <cp:lastModifiedBy>admin</cp:lastModifiedBy>
  <cp:revision>42</cp:revision>
  <cp:lastPrinted>2017-06-22T18:30:00Z</cp:lastPrinted>
  <dcterms:created xsi:type="dcterms:W3CDTF">2017-07-13T11:55:00Z</dcterms:created>
  <dcterms:modified xsi:type="dcterms:W3CDTF">2017-07-14T10:17:00Z</dcterms:modified>
</cp:coreProperties>
</file>